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032" w:rsidRPr="00E970BD" w:rsidRDefault="00301032" w:rsidP="00E970BD">
      <w:pPr>
        <w:jc w:val="center"/>
        <w:rPr>
          <w:rFonts w:ascii="Arial" w:hAnsi="Arial" w:cs="Arial"/>
          <w:sz w:val="16"/>
          <w:szCs w:val="16"/>
        </w:rPr>
      </w:pPr>
    </w:p>
    <w:p w:rsidR="00E970BD" w:rsidRPr="00E970BD" w:rsidRDefault="00E970BD" w:rsidP="00E970BD">
      <w:pPr>
        <w:pBdr>
          <w:top w:val="single" w:sz="4" w:space="1" w:color="auto"/>
          <w:left w:val="single" w:sz="4" w:space="4" w:color="auto"/>
          <w:bottom w:val="single" w:sz="4" w:space="1" w:color="auto"/>
          <w:right w:val="single" w:sz="4" w:space="4" w:color="auto"/>
        </w:pBdr>
        <w:jc w:val="center"/>
        <w:rPr>
          <w:rFonts w:ascii="Arial" w:hAnsi="Arial" w:cs="Arial"/>
        </w:rPr>
      </w:pPr>
      <w:r w:rsidRPr="00E970BD">
        <w:rPr>
          <w:rFonts w:ascii="Arial" w:hAnsi="Arial" w:cs="Arial"/>
        </w:rPr>
        <w:t>DOCUMENTS ANNEXES : ENTRAINEMENT A LA QUESTION DE GESTION</w:t>
      </w:r>
    </w:p>
    <w:p w:rsidR="00E970BD" w:rsidRPr="00E970BD" w:rsidRDefault="004900FD" w:rsidP="006216C0">
      <w:pPr>
        <w:shd w:val="clear" w:color="auto" w:fill="DEEAF6" w:themeFill="accent5" w:themeFillTint="33"/>
        <w:spacing w:after="200" w:line="276" w:lineRule="auto"/>
        <w:rPr>
          <w:rFonts w:ascii="Arial" w:eastAsia="Calibri" w:hAnsi="Arial" w:cs="Arial"/>
        </w:rPr>
      </w:pPr>
      <w:r w:rsidRPr="004900FD">
        <w:rPr>
          <w:rFonts w:ascii="Arial" w:eastAsia="Calibri" w:hAnsi="Arial" w:cs="Arial"/>
        </w:rPr>
        <w:t>DOCUMENT : Pourquoi s’engager ? Les clés de la RSE en une minute !</w:t>
      </w:r>
    </w:p>
    <w:p w:rsidR="004900FD" w:rsidRDefault="004900FD" w:rsidP="00E970BD">
      <w:pPr>
        <w:spacing w:after="200" w:line="276" w:lineRule="auto"/>
        <w:jc w:val="both"/>
        <w:rPr>
          <w:rFonts w:ascii="Arial" w:eastAsia="Calibri" w:hAnsi="Arial" w:cs="Arial"/>
        </w:rPr>
      </w:pPr>
      <w:hyperlink r:id="rId7" w:history="1">
        <w:r w:rsidRPr="00A77CAA">
          <w:rPr>
            <w:rStyle w:val="Lienhypertexte"/>
            <w:rFonts w:ascii="Arial" w:eastAsia="Calibri" w:hAnsi="Arial" w:cs="Arial"/>
          </w:rPr>
          <w:t>https://www.youtube.com/wa</w:t>
        </w:r>
        <w:r w:rsidRPr="00A77CAA">
          <w:rPr>
            <w:rStyle w:val="Lienhypertexte"/>
            <w:rFonts w:ascii="Arial" w:eastAsia="Calibri" w:hAnsi="Arial" w:cs="Arial"/>
          </w:rPr>
          <w:t>t</w:t>
        </w:r>
        <w:r w:rsidRPr="00A77CAA">
          <w:rPr>
            <w:rStyle w:val="Lienhypertexte"/>
            <w:rFonts w:ascii="Arial" w:eastAsia="Calibri" w:hAnsi="Arial" w:cs="Arial"/>
          </w:rPr>
          <w:t>ch?v=TElUVVq9_lI</w:t>
        </w:r>
      </w:hyperlink>
    </w:p>
    <w:p w:rsidR="004900FD" w:rsidRDefault="004900FD" w:rsidP="00E970BD">
      <w:pPr>
        <w:spacing w:after="200" w:line="276" w:lineRule="auto"/>
        <w:jc w:val="both"/>
        <w:rPr>
          <w:rFonts w:ascii="Arial" w:eastAsia="Calibri" w:hAnsi="Arial" w:cs="Arial"/>
        </w:rPr>
      </w:pPr>
    </w:p>
    <w:p w:rsidR="004900FD" w:rsidRPr="00E970BD" w:rsidRDefault="004900FD" w:rsidP="004900FD">
      <w:pPr>
        <w:shd w:val="clear" w:color="auto" w:fill="DEEAF6" w:themeFill="accent5" w:themeFillTint="33"/>
        <w:spacing w:after="200" w:line="276" w:lineRule="auto"/>
        <w:rPr>
          <w:rFonts w:ascii="Arial" w:eastAsia="Calibri" w:hAnsi="Arial" w:cs="Arial"/>
        </w:rPr>
      </w:pPr>
      <w:r w:rsidRPr="00E970BD">
        <w:rPr>
          <w:rFonts w:ascii="Arial" w:eastAsia="Calibri" w:hAnsi="Arial" w:cs="Arial"/>
        </w:rPr>
        <w:t>DOCUMENT</w:t>
      </w:r>
      <w:r>
        <w:rPr>
          <w:rFonts w:ascii="Arial" w:eastAsia="Calibri" w:hAnsi="Arial" w:cs="Arial"/>
        </w:rPr>
        <w:t xml:space="preserve"> : </w:t>
      </w:r>
      <w:r w:rsidRPr="00E970BD">
        <w:rPr>
          <w:rFonts w:ascii="Arial" w:eastAsia="Calibri" w:hAnsi="Arial" w:cs="Arial"/>
        </w:rPr>
        <w:t>La RSE et le développement durable</w:t>
      </w:r>
    </w:p>
    <w:p w:rsidR="004900FD" w:rsidRDefault="004900FD" w:rsidP="00E970BD">
      <w:pPr>
        <w:spacing w:after="200" w:line="276" w:lineRule="auto"/>
        <w:jc w:val="both"/>
        <w:rPr>
          <w:rFonts w:ascii="Arial" w:eastAsia="Calibri" w:hAnsi="Arial" w:cs="Arial"/>
        </w:rPr>
      </w:pPr>
    </w:p>
    <w:p w:rsidR="00E970BD" w:rsidRPr="00E970BD" w:rsidRDefault="00E970BD" w:rsidP="00E970BD">
      <w:pPr>
        <w:spacing w:after="200" w:line="276" w:lineRule="auto"/>
        <w:jc w:val="both"/>
        <w:rPr>
          <w:rFonts w:ascii="Arial" w:eastAsia="Calibri" w:hAnsi="Arial" w:cs="Arial"/>
        </w:rPr>
      </w:pPr>
      <w:r w:rsidRPr="00E970BD">
        <w:rPr>
          <w:rFonts w:ascii="Arial" w:eastAsia="Calibri" w:hAnsi="Arial" w:cs="Arial"/>
        </w:rPr>
        <w:t>La RSE (responsabilité sociale ou sociétale des entreprises) est la contribution des entreprises aux enjeux du développement durable. La démarche consiste pour les entreprises à prendre en compte les impacts sociaux et environnementaux de leur activité pour adopter les meilleures pratiques possibles et contribuer ainsi à l’amélioration de la société et à la protection de l’environnement. La RSE permet d’associer logique économique, responsabilité sociale et éco responsabilité. En Europe, seuls le Danemark et la France ont fait de la responsabilité sociétale des entreprises un objet de réglementation.</w:t>
      </w:r>
    </w:p>
    <w:p w:rsidR="00E970BD" w:rsidRPr="00E970BD" w:rsidRDefault="00E970BD" w:rsidP="00E970BD">
      <w:pPr>
        <w:spacing w:after="200" w:line="276" w:lineRule="auto"/>
        <w:jc w:val="both"/>
        <w:rPr>
          <w:rFonts w:ascii="Arial" w:eastAsia="Calibri" w:hAnsi="Arial" w:cs="Arial"/>
        </w:rPr>
      </w:pPr>
      <w:r w:rsidRPr="00E970BD">
        <w:rPr>
          <w:rFonts w:ascii="Arial" w:eastAsia="Calibri" w:hAnsi="Arial" w:cs="Arial"/>
        </w:rPr>
        <w:t>Ainsi, l’article N°116 de la loi sur les nouvelles régulations économiques (NRE) votée en 2001 prévoit que les entreprises cotées en bourse indiquent dans leur rapport annuel une série d’informations relatives aux conséquences sociales et environnementales de leurs activités.</w:t>
      </w:r>
    </w:p>
    <w:p w:rsidR="00E970BD" w:rsidRPr="00E970BD" w:rsidRDefault="00C52BCE" w:rsidP="00E970BD">
      <w:pPr>
        <w:spacing w:after="200" w:line="276" w:lineRule="auto"/>
        <w:jc w:val="right"/>
        <w:rPr>
          <w:rFonts w:ascii="Calibri" w:eastAsia="Calibri" w:hAnsi="Calibri" w:cs="Times New Roman"/>
        </w:rPr>
      </w:pPr>
      <w:hyperlink r:id="rId8" w:history="1">
        <w:r w:rsidR="00E970BD" w:rsidRPr="00E970BD">
          <w:rPr>
            <w:rFonts w:ascii="Calibri" w:eastAsia="Calibri" w:hAnsi="Calibri" w:cs="Times New Roman"/>
            <w:color w:val="0000FF"/>
            <w:u w:val="single"/>
          </w:rPr>
          <w:t>www.développement-durable.gouv.fr</w:t>
        </w:r>
      </w:hyperlink>
    </w:p>
    <w:p w:rsidR="00E970BD" w:rsidRPr="00E970BD" w:rsidRDefault="00E970BD" w:rsidP="006216C0">
      <w:pPr>
        <w:shd w:val="clear" w:color="auto" w:fill="DEEAF6" w:themeFill="accent5" w:themeFillTint="33"/>
        <w:spacing w:after="200" w:line="276" w:lineRule="auto"/>
        <w:rPr>
          <w:rFonts w:ascii="Arial" w:eastAsia="Calibri" w:hAnsi="Arial" w:cs="Arial"/>
        </w:rPr>
      </w:pPr>
      <w:r w:rsidRPr="00E970BD">
        <w:rPr>
          <w:rFonts w:ascii="Arial" w:eastAsia="Calibri" w:hAnsi="Arial" w:cs="Arial"/>
        </w:rPr>
        <w:t>DOCUMENT : un exemple de RSE : Le groupe SODEXO</w:t>
      </w:r>
    </w:p>
    <w:p w:rsidR="00E970BD" w:rsidRPr="00E970BD" w:rsidRDefault="00E970BD" w:rsidP="00E970BD">
      <w:pPr>
        <w:widowControl w:val="0"/>
        <w:suppressAutoHyphens/>
        <w:spacing w:after="0" w:line="240" w:lineRule="auto"/>
        <w:jc w:val="both"/>
        <w:rPr>
          <w:rFonts w:ascii="Arial" w:eastAsia="SimSun" w:hAnsi="Arial" w:cs="Arial"/>
          <w:kern w:val="1"/>
          <w:sz w:val="18"/>
          <w:szCs w:val="18"/>
          <w:lang w:eastAsia="zh-CN" w:bidi="hi-IN"/>
        </w:rPr>
      </w:pPr>
      <w:r w:rsidRPr="00E970BD">
        <w:rPr>
          <w:rFonts w:ascii="Arial" w:eastAsia="SimSun" w:hAnsi="Arial" w:cs="Arial"/>
          <w:kern w:val="1"/>
          <w:sz w:val="18"/>
          <w:szCs w:val="18"/>
          <w:lang w:eastAsia="zh-CN" w:bidi="hi-IN"/>
        </w:rPr>
        <w:t xml:space="preserve">Les achats sont aujourd’hui très décentralisés dans l’entreprise. </w:t>
      </w:r>
      <w:r w:rsidRPr="00EC6EA4">
        <w:rPr>
          <w:rFonts w:ascii="Arial" w:eastAsia="SimSun" w:hAnsi="Arial" w:cs="Arial"/>
          <w:kern w:val="1"/>
          <w:sz w:val="18"/>
          <w:szCs w:val="18"/>
          <w:lang w:eastAsia="zh-CN" w:bidi="hi-IN"/>
        </w:rPr>
        <w:t>L’acheteur n’est plus un simple négociateur mais c’est un chef de projet</w:t>
      </w:r>
      <w:r w:rsidRPr="00E970BD">
        <w:rPr>
          <w:rFonts w:ascii="Arial" w:eastAsia="SimSun" w:hAnsi="Arial" w:cs="Arial"/>
          <w:kern w:val="1"/>
          <w:sz w:val="18"/>
          <w:szCs w:val="18"/>
          <w:lang w:eastAsia="zh-CN" w:bidi="hi-IN"/>
        </w:rPr>
        <w:t xml:space="preserve"> qui doit prendre en compte des éléments de plus en plus complexes qui peuvent, s’ils sont sous-estimés, entraîner des risques importants pour l’entreprise.</w:t>
      </w:r>
    </w:p>
    <w:p w:rsidR="00E970BD" w:rsidRPr="00E970BD" w:rsidRDefault="00E970BD" w:rsidP="00E970BD">
      <w:pPr>
        <w:widowControl w:val="0"/>
        <w:suppressAutoHyphens/>
        <w:spacing w:after="0" w:line="240" w:lineRule="auto"/>
        <w:jc w:val="both"/>
        <w:rPr>
          <w:rFonts w:ascii="Arial" w:eastAsia="SimSun" w:hAnsi="Arial" w:cs="Arial"/>
          <w:kern w:val="1"/>
          <w:sz w:val="18"/>
          <w:szCs w:val="18"/>
          <w:lang w:eastAsia="zh-CN" w:bidi="hi-IN"/>
        </w:rPr>
      </w:pPr>
    </w:p>
    <w:p w:rsidR="00E970BD" w:rsidRPr="00E970BD" w:rsidRDefault="00E970BD" w:rsidP="00E970BD">
      <w:pPr>
        <w:widowControl w:val="0"/>
        <w:suppressAutoHyphens/>
        <w:spacing w:after="0" w:line="240" w:lineRule="auto"/>
        <w:jc w:val="both"/>
        <w:rPr>
          <w:rFonts w:ascii="Arial" w:eastAsia="SimSun" w:hAnsi="Arial" w:cs="Arial"/>
          <w:kern w:val="1"/>
          <w:sz w:val="18"/>
          <w:szCs w:val="18"/>
          <w:lang w:eastAsia="zh-CN" w:bidi="hi-IN"/>
        </w:rPr>
      </w:pPr>
      <w:r w:rsidRPr="00E970BD">
        <w:rPr>
          <w:rFonts w:ascii="Arial" w:eastAsia="SimSun" w:hAnsi="Arial" w:cs="Arial"/>
          <w:kern w:val="1"/>
          <w:sz w:val="18"/>
          <w:szCs w:val="18"/>
          <w:lang w:eastAsia="zh-CN" w:bidi="hi-IN"/>
        </w:rPr>
        <w:t>Quels sont ces risques ? :</w:t>
      </w:r>
    </w:p>
    <w:p w:rsidR="00E970BD" w:rsidRPr="00E970BD" w:rsidRDefault="00E970BD" w:rsidP="00E970BD">
      <w:pPr>
        <w:widowControl w:val="0"/>
        <w:numPr>
          <w:ilvl w:val="0"/>
          <w:numId w:val="1"/>
        </w:numPr>
        <w:tabs>
          <w:tab w:val="num" w:pos="1134"/>
        </w:tabs>
        <w:suppressAutoHyphens/>
        <w:spacing w:after="0" w:line="240" w:lineRule="auto"/>
        <w:ind w:left="1134" w:hanging="283"/>
        <w:jc w:val="both"/>
        <w:rPr>
          <w:rFonts w:ascii="Arial" w:eastAsia="SimSun" w:hAnsi="Arial" w:cs="Arial"/>
          <w:kern w:val="1"/>
          <w:sz w:val="18"/>
          <w:szCs w:val="18"/>
          <w:lang w:eastAsia="zh-CN" w:bidi="hi-IN"/>
        </w:rPr>
      </w:pPr>
      <w:r w:rsidRPr="00E970BD">
        <w:rPr>
          <w:rFonts w:ascii="Arial" w:eastAsia="SimSun" w:hAnsi="Arial" w:cs="Arial"/>
          <w:kern w:val="1"/>
          <w:sz w:val="18"/>
          <w:szCs w:val="18"/>
          <w:lang w:eastAsia="zh-CN" w:bidi="hi-IN"/>
        </w:rPr>
        <w:t>1</w:t>
      </w:r>
      <w:r w:rsidRPr="00E970BD">
        <w:rPr>
          <w:rFonts w:ascii="Arial" w:eastAsia="SimSun" w:hAnsi="Arial" w:cs="Arial"/>
          <w:kern w:val="1"/>
          <w:sz w:val="18"/>
          <w:szCs w:val="18"/>
          <w:vertAlign w:val="superscript"/>
          <w:lang w:eastAsia="zh-CN" w:bidi="hi-IN"/>
        </w:rPr>
        <w:t>er</w:t>
      </w:r>
      <w:r w:rsidRPr="00E970BD">
        <w:rPr>
          <w:rFonts w:ascii="Arial" w:eastAsia="SimSun" w:hAnsi="Arial" w:cs="Arial"/>
          <w:kern w:val="1"/>
          <w:sz w:val="18"/>
          <w:szCs w:val="18"/>
          <w:lang w:eastAsia="zh-CN" w:bidi="hi-IN"/>
        </w:rPr>
        <w:t xml:space="preserve"> risque : les risques sociétaux et sociaux :</w:t>
      </w:r>
    </w:p>
    <w:p w:rsidR="00E970BD" w:rsidRPr="00E970BD" w:rsidRDefault="00E970BD" w:rsidP="00E970BD">
      <w:pPr>
        <w:widowControl w:val="0"/>
        <w:suppressAutoHyphens/>
        <w:spacing w:after="0" w:line="240" w:lineRule="auto"/>
        <w:jc w:val="both"/>
        <w:rPr>
          <w:rFonts w:ascii="Arial" w:eastAsia="SimSun" w:hAnsi="Arial" w:cs="Arial"/>
          <w:kern w:val="1"/>
          <w:sz w:val="18"/>
          <w:szCs w:val="18"/>
          <w:lang w:eastAsia="zh-CN" w:bidi="hi-IN"/>
        </w:rPr>
      </w:pPr>
      <w:r w:rsidRPr="00E970BD">
        <w:rPr>
          <w:rFonts w:ascii="Arial" w:eastAsia="SimSun" w:hAnsi="Arial" w:cs="Arial"/>
          <w:kern w:val="1"/>
          <w:sz w:val="18"/>
          <w:szCs w:val="18"/>
          <w:lang w:eastAsia="zh-CN" w:bidi="hi-IN"/>
        </w:rPr>
        <w:t>L’entreprise doit faire respecter dans la chaîne d’approvisionnement (18 000 fournisseurs dans le monde pour Sodexo) : la liberté syndicale, la non utilisation du travail des enfants, la non-discrimination, le niveau des salaires…</w:t>
      </w:r>
    </w:p>
    <w:p w:rsidR="00E970BD" w:rsidRPr="00E970BD" w:rsidRDefault="00E970BD" w:rsidP="00E970BD">
      <w:pPr>
        <w:widowControl w:val="0"/>
        <w:suppressAutoHyphens/>
        <w:spacing w:after="0" w:line="240" w:lineRule="auto"/>
        <w:jc w:val="both"/>
        <w:rPr>
          <w:rFonts w:ascii="Arial" w:eastAsia="SimSun" w:hAnsi="Arial" w:cs="Arial"/>
          <w:kern w:val="1"/>
          <w:sz w:val="18"/>
          <w:szCs w:val="18"/>
          <w:lang w:eastAsia="zh-CN" w:bidi="hi-IN"/>
        </w:rPr>
      </w:pPr>
      <w:r w:rsidRPr="00E970BD">
        <w:rPr>
          <w:rFonts w:ascii="Arial" w:eastAsia="SimSun" w:hAnsi="Arial" w:cs="Arial"/>
          <w:kern w:val="1"/>
          <w:sz w:val="18"/>
          <w:szCs w:val="18"/>
          <w:lang w:eastAsia="zh-CN" w:bidi="hi-IN"/>
        </w:rPr>
        <w:t>Pourquoi : parce qu’un scandale chez un fournisseur éclabousse l’entreprise.</w:t>
      </w:r>
    </w:p>
    <w:p w:rsidR="00E970BD" w:rsidRPr="00E970BD" w:rsidRDefault="00E970BD" w:rsidP="00E970BD">
      <w:pPr>
        <w:widowControl w:val="0"/>
        <w:suppressAutoHyphens/>
        <w:spacing w:after="0" w:line="240" w:lineRule="auto"/>
        <w:jc w:val="both"/>
        <w:rPr>
          <w:rFonts w:ascii="Arial" w:eastAsia="SimSun" w:hAnsi="Arial" w:cs="Arial"/>
          <w:i/>
          <w:iCs/>
          <w:kern w:val="1"/>
          <w:sz w:val="18"/>
          <w:szCs w:val="18"/>
          <w:lang w:eastAsia="zh-CN" w:bidi="hi-IN"/>
        </w:rPr>
      </w:pPr>
      <w:r w:rsidRPr="00E970BD">
        <w:rPr>
          <w:rFonts w:ascii="Arial" w:eastAsia="SimSun" w:hAnsi="Arial" w:cs="Arial"/>
          <w:i/>
          <w:iCs/>
          <w:kern w:val="1"/>
          <w:sz w:val="18"/>
          <w:szCs w:val="18"/>
          <w:lang w:eastAsia="zh-CN" w:bidi="hi-IN"/>
        </w:rPr>
        <w:t>Ex : un problème de harcèlement sexuel a été détecté chez un sous-traitant en Jordanie qui fabriquait les uniformes du groupe. Une photo du scandale a été publiée sur internet (photo de l’uniforme Sodexo) ; ce scandale a fortement nuit à l’image de l’entreprise.</w:t>
      </w:r>
    </w:p>
    <w:p w:rsidR="00E970BD" w:rsidRPr="00E970BD" w:rsidRDefault="00E970BD" w:rsidP="00E970BD">
      <w:pPr>
        <w:widowControl w:val="0"/>
        <w:suppressAutoHyphens/>
        <w:spacing w:after="0" w:line="240" w:lineRule="auto"/>
        <w:jc w:val="both"/>
        <w:rPr>
          <w:rFonts w:ascii="Arial" w:eastAsia="SimSun" w:hAnsi="Arial" w:cs="Arial"/>
          <w:i/>
          <w:iCs/>
          <w:kern w:val="1"/>
          <w:sz w:val="18"/>
          <w:szCs w:val="18"/>
          <w:lang w:eastAsia="zh-CN" w:bidi="hi-IN"/>
        </w:rPr>
      </w:pPr>
      <w:r w:rsidRPr="00E970BD">
        <w:rPr>
          <w:rFonts w:ascii="Arial" w:eastAsia="SimSun" w:hAnsi="Arial" w:cs="Arial"/>
          <w:i/>
          <w:iCs/>
          <w:kern w:val="1"/>
          <w:sz w:val="18"/>
          <w:szCs w:val="18"/>
          <w:lang w:eastAsia="zh-CN" w:bidi="hi-IN"/>
        </w:rPr>
        <w:t>Ex : 2 arrêts de collaboration avec des entreprises textiles chinoises ces 6 derniers mois.</w:t>
      </w:r>
    </w:p>
    <w:p w:rsidR="00E970BD" w:rsidRPr="00E970BD" w:rsidRDefault="00E970BD" w:rsidP="00E970BD">
      <w:pPr>
        <w:widowControl w:val="0"/>
        <w:suppressAutoHyphens/>
        <w:spacing w:after="0" w:line="240" w:lineRule="auto"/>
        <w:jc w:val="both"/>
        <w:rPr>
          <w:rFonts w:ascii="Arial" w:eastAsia="SimSun" w:hAnsi="Arial" w:cs="Arial"/>
          <w:i/>
          <w:iCs/>
          <w:kern w:val="1"/>
          <w:sz w:val="18"/>
          <w:szCs w:val="18"/>
          <w:lang w:eastAsia="zh-CN" w:bidi="hi-IN"/>
        </w:rPr>
      </w:pPr>
    </w:p>
    <w:p w:rsidR="00E970BD" w:rsidRPr="00E970BD" w:rsidRDefault="00E970BD" w:rsidP="00E970BD">
      <w:pPr>
        <w:widowControl w:val="0"/>
        <w:numPr>
          <w:ilvl w:val="0"/>
          <w:numId w:val="1"/>
        </w:numPr>
        <w:tabs>
          <w:tab w:val="num" w:pos="1134"/>
        </w:tabs>
        <w:suppressAutoHyphens/>
        <w:spacing w:after="0" w:line="240" w:lineRule="auto"/>
        <w:ind w:left="1134" w:hanging="283"/>
        <w:jc w:val="both"/>
        <w:rPr>
          <w:rFonts w:ascii="Arial" w:eastAsia="SimSun" w:hAnsi="Arial" w:cs="Arial"/>
          <w:kern w:val="1"/>
          <w:sz w:val="18"/>
          <w:szCs w:val="18"/>
          <w:lang w:eastAsia="zh-CN" w:bidi="hi-IN"/>
        </w:rPr>
      </w:pPr>
      <w:r w:rsidRPr="00E970BD">
        <w:rPr>
          <w:rFonts w:ascii="Arial" w:eastAsia="SimSun" w:hAnsi="Arial" w:cs="Arial"/>
          <w:kern w:val="1"/>
          <w:sz w:val="18"/>
          <w:szCs w:val="18"/>
          <w:lang w:eastAsia="zh-CN" w:bidi="hi-IN"/>
        </w:rPr>
        <w:t>2</w:t>
      </w:r>
      <w:r w:rsidRPr="00E970BD">
        <w:rPr>
          <w:rFonts w:ascii="Arial" w:eastAsia="SimSun" w:hAnsi="Arial" w:cs="Arial"/>
          <w:kern w:val="1"/>
          <w:sz w:val="18"/>
          <w:szCs w:val="18"/>
          <w:vertAlign w:val="superscript"/>
          <w:lang w:eastAsia="zh-CN" w:bidi="hi-IN"/>
        </w:rPr>
        <w:t>ième</w:t>
      </w:r>
      <w:r w:rsidRPr="00E970BD">
        <w:rPr>
          <w:rFonts w:ascii="Arial" w:eastAsia="SimSun" w:hAnsi="Arial" w:cs="Arial"/>
          <w:kern w:val="1"/>
          <w:sz w:val="18"/>
          <w:szCs w:val="18"/>
          <w:lang w:eastAsia="zh-CN" w:bidi="hi-IN"/>
        </w:rPr>
        <w:t xml:space="preserve"> risque : le risque environnemental</w:t>
      </w:r>
    </w:p>
    <w:p w:rsidR="00E970BD" w:rsidRPr="00E970BD" w:rsidRDefault="00E970BD" w:rsidP="00E970BD">
      <w:pPr>
        <w:widowControl w:val="0"/>
        <w:suppressAutoHyphens/>
        <w:spacing w:after="0" w:line="240" w:lineRule="auto"/>
        <w:jc w:val="both"/>
        <w:rPr>
          <w:rFonts w:ascii="Arial" w:eastAsia="SimSun" w:hAnsi="Arial" w:cs="Arial"/>
          <w:kern w:val="1"/>
          <w:sz w:val="18"/>
          <w:szCs w:val="18"/>
          <w:lang w:eastAsia="zh-CN" w:bidi="hi-IN"/>
        </w:rPr>
      </w:pPr>
      <w:r w:rsidRPr="00E970BD">
        <w:rPr>
          <w:rFonts w:ascii="Arial" w:eastAsia="SimSun" w:hAnsi="Arial" w:cs="Arial"/>
          <w:kern w:val="1"/>
          <w:sz w:val="18"/>
          <w:szCs w:val="18"/>
          <w:lang w:eastAsia="zh-CN" w:bidi="hi-IN"/>
        </w:rPr>
        <w:t>Pour pallier le risque environnemental, Sodexo a mis en place des procédures :</w:t>
      </w:r>
    </w:p>
    <w:p w:rsidR="00E970BD" w:rsidRPr="00E970BD" w:rsidRDefault="00E970BD" w:rsidP="00E970BD">
      <w:pPr>
        <w:widowControl w:val="0"/>
        <w:numPr>
          <w:ilvl w:val="0"/>
          <w:numId w:val="2"/>
        </w:numPr>
        <w:suppressAutoHyphens/>
        <w:spacing w:after="0" w:line="240" w:lineRule="auto"/>
        <w:jc w:val="both"/>
        <w:rPr>
          <w:rFonts w:ascii="Arial" w:eastAsia="SimSun" w:hAnsi="Arial" w:cs="Arial"/>
          <w:kern w:val="1"/>
          <w:sz w:val="18"/>
          <w:szCs w:val="18"/>
          <w:lang w:eastAsia="zh-CN" w:bidi="hi-IN"/>
        </w:rPr>
      </w:pPr>
      <w:r w:rsidRPr="00E970BD">
        <w:rPr>
          <w:rFonts w:ascii="Arial" w:eastAsia="SimSun" w:hAnsi="Arial" w:cs="Arial"/>
          <w:kern w:val="1"/>
          <w:sz w:val="18"/>
          <w:szCs w:val="18"/>
          <w:lang w:eastAsia="zh-CN" w:bidi="hi-IN"/>
        </w:rPr>
        <w:t>Un code de conduite signé par les fournisseurs</w:t>
      </w:r>
    </w:p>
    <w:p w:rsidR="00E970BD" w:rsidRPr="00E970BD" w:rsidRDefault="00E970BD" w:rsidP="00E970BD">
      <w:pPr>
        <w:widowControl w:val="0"/>
        <w:numPr>
          <w:ilvl w:val="0"/>
          <w:numId w:val="2"/>
        </w:numPr>
        <w:suppressAutoHyphens/>
        <w:spacing w:after="0" w:line="240" w:lineRule="auto"/>
        <w:jc w:val="both"/>
        <w:rPr>
          <w:rFonts w:ascii="Arial" w:eastAsia="SimSun" w:hAnsi="Arial" w:cs="Arial"/>
          <w:kern w:val="1"/>
          <w:sz w:val="18"/>
          <w:szCs w:val="18"/>
          <w:lang w:eastAsia="zh-CN" w:bidi="hi-IN"/>
        </w:rPr>
      </w:pPr>
      <w:r w:rsidRPr="00E970BD">
        <w:rPr>
          <w:rFonts w:ascii="Arial" w:eastAsia="SimSun" w:hAnsi="Arial" w:cs="Arial"/>
          <w:kern w:val="1"/>
          <w:sz w:val="18"/>
          <w:szCs w:val="18"/>
          <w:lang w:eastAsia="zh-CN" w:bidi="hi-IN"/>
        </w:rPr>
        <w:t>Un audit régulier des fournisseurs</w:t>
      </w:r>
    </w:p>
    <w:p w:rsidR="00E970BD" w:rsidRPr="00E970BD" w:rsidRDefault="00E970BD" w:rsidP="00E970BD">
      <w:pPr>
        <w:widowControl w:val="0"/>
        <w:numPr>
          <w:ilvl w:val="0"/>
          <w:numId w:val="2"/>
        </w:numPr>
        <w:suppressAutoHyphens/>
        <w:spacing w:after="0" w:line="240" w:lineRule="auto"/>
        <w:jc w:val="both"/>
        <w:rPr>
          <w:rFonts w:ascii="Arial" w:eastAsia="SimSun" w:hAnsi="Arial" w:cs="Arial"/>
          <w:kern w:val="1"/>
          <w:sz w:val="18"/>
          <w:szCs w:val="18"/>
          <w:lang w:eastAsia="zh-CN" w:bidi="hi-IN"/>
        </w:rPr>
      </w:pPr>
      <w:r w:rsidRPr="00E970BD">
        <w:rPr>
          <w:rFonts w:ascii="Arial" w:eastAsia="SimSun" w:hAnsi="Arial" w:cs="Arial"/>
          <w:kern w:val="1"/>
          <w:sz w:val="18"/>
          <w:szCs w:val="18"/>
          <w:lang w:eastAsia="zh-CN" w:bidi="hi-IN"/>
        </w:rPr>
        <w:t>La mise en place de procédures chez les fournisseurs pour les aider à respecter le code de conduite</w:t>
      </w:r>
    </w:p>
    <w:p w:rsidR="00E970BD" w:rsidRPr="00E970BD" w:rsidRDefault="00E970BD" w:rsidP="00E970BD">
      <w:pPr>
        <w:widowControl w:val="0"/>
        <w:numPr>
          <w:ilvl w:val="0"/>
          <w:numId w:val="1"/>
        </w:numPr>
        <w:tabs>
          <w:tab w:val="num" w:pos="1134"/>
        </w:tabs>
        <w:suppressAutoHyphens/>
        <w:spacing w:after="0" w:line="240" w:lineRule="auto"/>
        <w:ind w:left="1134" w:hanging="283"/>
        <w:jc w:val="both"/>
        <w:rPr>
          <w:rFonts w:ascii="Arial" w:eastAsia="SimSun" w:hAnsi="Arial" w:cs="Arial"/>
          <w:kern w:val="1"/>
          <w:sz w:val="18"/>
          <w:szCs w:val="18"/>
          <w:lang w:eastAsia="zh-CN" w:bidi="hi-IN"/>
        </w:rPr>
      </w:pPr>
      <w:r w:rsidRPr="00E970BD">
        <w:rPr>
          <w:rFonts w:ascii="Arial" w:eastAsia="SimSun" w:hAnsi="Arial" w:cs="Arial"/>
          <w:kern w:val="1"/>
          <w:sz w:val="18"/>
          <w:szCs w:val="18"/>
          <w:lang w:eastAsia="zh-CN" w:bidi="hi-IN"/>
        </w:rPr>
        <w:t>3</w:t>
      </w:r>
      <w:r w:rsidRPr="00E970BD">
        <w:rPr>
          <w:rFonts w:ascii="Arial" w:eastAsia="SimSun" w:hAnsi="Arial" w:cs="Arial"/>
          <w:kern w:val="1"/>
          <w:sz w:val="18"/>
          <w:szCs w:val="18"/>
          <w:vertAlign w:val="superscript"/>
          <w:lang w:eastAsia="zh-CN" w:bidi="hi-IN"/>
        </w:rPr>
        <w:t>ième</w:t>
      </w:r>
      <w:r w:rsidRPr="00E970BD">
        <w:rPr>
          <w:rFonts w:ascii="Arial" w:eastAsia="SimSun" w:hAnsi="Arial" w:cs="Arial"/>
          <w:kern w:val="1"/>
          <w:sz w:val="18"/>
          <w:szCs w:val="18"/>
          <w:lang w:eastAsia="zh-CN" w:bidi="hi-IN"/>
        </w:rPr>
        <w:t xml:space="preserve"> risque : le risque produit</w:t>
      </w:r>
    </w:p>
    <w:p w:rsidR="00E970BD" w:rsidRPr="00E970BD" w:rsidRDefault="00E970BD" w:rsidP="00E970BD">
      <w:pPr>
        <w:widowControl w:val="0"/>
        <w:suppressAutoHyphens/>
        <w:spacing w:after="0" w:line="240" w:lineRule="auto"/>
        <w:jc w:val="both"/>
        <w:rPr>
          <w:rFonts w:ascii="Arial" w:eastAsia="SimSun" w:hAnsi="Arial" w:cs="Arial"/>
          <w:kern w:val="1"/>
          <w:sz w:val="18"/>
          <w:szCs w:val="18"/>
          <w:lang w:eastAsia="zh-CN" w:bidi="hi-IN"/>
        </w:rPr>
      </w:pPr>
      <w:r w:rsidRPr="00E970BD">
        <w:rPr>
          <w:rFonts w:ascii="Arial" w:eastAsia="SimSun" w:hAnsi="Arial" w:cs="Arial"/>
          <w:kern w:val="1"/>
          <w:sz w:val="18"/>
          <w:szCs w:val="18"/>
          <w:lang w:eastAsia="zh-CN" w:bidi="hi-IN"/>
        </w:rPr>
        <w:t>Ex de la filière « produits de la mer »</w:t>
      </w:r>
    </w:p>
    <w:p w:rsidR="00E970BD" w:rsidRPr="00E970BD" w:rsidRDefault="00E970BD" w:rsidP="00E970BD">
      <w:pPr>
        <w:widowControl w:val="0"/>
        <w:suppressAutoHyphens/>
        <w:spacing w:after="0" w:line="240" w:lineRule="auto"/>
        <w:jc w:val="both"/>
        <w:rPr>
          <w:rFonts w:ascii="Arial" w:eastAsia="SimSun" w:hAnsi="Arial" w:cs="Arial"/>
          <w:kern w:val="1"/>
          <w:sz w:val="18"/>
          <w:szCs w:val="18"/>
          <w:lang w:eastAsia="zh-CN" w:bidi="hi-IN"/>
        </w:rPr>
      </w:pPr>
      <w:r w:rsidRPr="00E970BD">
        <w:rPr>
          <w:rFonts w:ascii="Arial" w:eastAsia="SimSun" w:hAnsi="Arial" w:cs="Arial"/>
          <w:kern w:val="1"/>
          <w:sz w:val="18"/>
          <w:szCs w:val="18"/>
          <w:lang w:eastAsia="zh-CN" w:bidi="hi-IN"/>
        </w:rPr>
        <w:t>L’entreprise Sodexo rencontre un paradoxe concernant ce type de produits :</w:t>
      </w:r>
    </w:p>
    <w:p w:rsidR="00E970BD" w:rsidRPr="00E970BD" w:rsidRDefault="00E970BD" w:rsidP="00E970BD">
      <w:pPr>
        <w:widowControl w:val="0"/>
        <w:numPr>
          <w:ilvl w:val="0"/>
          <w:numId w:val="3"/>
        </w:numPr>
        <w:suppressAutoHyphens/>
        <w:spacing w:after="0" w:line="240" w:lineRule="auto"/>
        <w:jc w:val="both"/>
        <w:rPr>
          <w:rFonts w:ascii="Arial" w:eastAsia="SimSun" w:hAnsi="Arial" w:cs="Arial"/>
          <w:kern w:val="1"/>
          <w:sz w:val="18"/>
          <w:szCs w:val="18"/>
          <w:lang w:eastAsia="zh-CN" w:bidi="hi-IN"/>
        </w:rPr>
      </w:pPr>
      <w:r w:rsidRPr="00E970BD">
        <w:rPr>
          <w:rFonts w:ascii="Arial" w:eastAsia="SimSun" w:hAnsi="Arial" w:cs="Arial"/>
          <w:kern w:val="1"/>
          <w:sz w:val="18"/>
          <w:szCs w:val="18"/>
          <w:lang w:eastAsia="zh-CN" w:bidi="hi-IN"/>
        </w:rPr>
        <w:t>Les nutritionnistes incitent à la consommation de poisson</w:t>
      </w:r>
    </w:p>
    <w:p w:rsidR="00E970BD" w:rsidRPr="00E970BD" w:rsidRDefault="00E970BD" w:rsidP="00E970BD">
      <w:pPr>
        <w:widowControl w:val="0"/>
        <w:numPr>
          <w:ilvl w:val="0"/>
          <w:numId w:val="3"/>
        </w:numPr>
        <w:suppressAutoHyphens/>
        <w:spacing w:after="0" w:line="240" w:lineRule="auto"/>
        <w:jc w:val="both"/>
        <w:rPr>
          <w:rFonts w:ascii="Arial" w:eastAsia="SimSun" w:hAnsi="Arial" w:cs="Arial"/>
          <w:kern w:val="1"/>
          <w:sz w:val="18"/>
          <w:szCs w:val="18"/>
          <w:lang w:eastAsia="zh-CN" w:bidi="hi-IN"/>
        </w:rPr>
      </w:pPr>
      <w:r w:rsidRPr="00E970BD">
        <w:rPr>
          <w:rFonts w:ascii="Arial" w:eastAsia="SimSun" w:hAnsi="Arial" w:cs="Arial"/>
          <w:kern w:val="1"/>
          <w:sz w:val="18"/>
          <w:szCs w:val="18"/>
          <w:lang w:eastAsia="zh-CN" w:bidi="hi-IN"/>
        </w:rPr>
        <w:t>Les espèces sauvages sont surexploitées</w:t>
      </w:r>
    </w:p>
    <w:p w:rsidR="00E970BD" w:rsidRPr="00E970BD" w:rsidRDefault="00E970BD" w:rsidP="00E970BD">
      <w:pPr>
        <w:widowControl w:val="0"/>
        <w:numPr>
          <w:ilvl w:val="0"/>
          <w:numId w:val="3"/>
        </w:numPr>
        <w:suppressAutoHyphens/>
        <w:spacing w:after="0" w:line="240" w:lineRule="auto"/>
        <w:jc w:val="both"/>
        <w:rPr>
          <w:rFonts w:ascii="Arial" w:eastAsia="SimSun" w:hAnsi="Arial" w:cs="Arial"/>
          <w:kern w:val="1"/>
          <w:sz w:val="18"/>
          <w:szCs w:val="18"/>
          <w:lang w:eastAsia="zh-CN" w:bidi="hi-IN"/>
        </w:rPr>
      </w:pPr>
      <w:r w:rsidRPr="00E970BD">
        <w:rPr>
          <w:rFonts w:ascii="Arial" w:eastAsia="SimSun" w:hAnsi="Arial" w:cs="Arial"/>
          <w:kern w:val="1"/>
          <w:sz w:val="18"/>
          <w:szCs w:val="18"/>
          <w:lang w:eastAsia="zh-CN" w:bidi="hi-IN"/>
        </w:rPr>
        <w:t>L’aquaculture est très critiquée par les ONG</w:t>
      </w:r>
    </w:p>
    <w:p w:rsidR="00E970BD" w:rsidRPr="00E970BD" w:rsidRDefault="00E970BD" w:rsidP="00E970BD">
      <w:pPr>
        <w:widowControl w:val="0"/>
        <w:numPr>
          <w:ilvl w:val="0"/>
          <w:numId w:val="3"/>
        </w:numPr>
        <w:suppressAutoHyphens/>
        <w:spacing w:after="0" w:line="240" w:lineRule="auto"/>
        <w:jc w:val="both"/>
        <w:rPr>
          <w:rFonts w:ascii="Arial" w:eastAsia="SimSun" w:hAnsi="Arial" w:cs="Arial"/>
          <w:kern w:val="1"/>
          <w:sz w:val="18"/>
          <w:szCs w:val="18"/>
          <w:lang w:eastAsia="zh-CN" w:bidi="hi-IN"/>
        </w:rPr>
      </w:pPr>
      <w:r w:rsidRPr="00E970BD">
        <w:rPr>
          <w:rFonts w:ascii="Arial" w:eastAsia="SimSun" w:hAnsi="Arial" w:cs="Arial"/>
          <w:kern w:val="1"/>
          <w:sz w:val="18"/>
          <w:szCs w:val="18"/>
          <w:lang w:eastAsia="zh-CN" w:bidi="hi-IN"/>
        </w:rPr>
        <w:t>Les pratiques de pêche sont destructrices (7 millions de tonnes de poissons morts sont rejetés chaque année à la mer)</w:t>
      </w:r>
    </w:p>
    <w:p w:rsidR="00E970BD" w:rsidRPr="00E970BD" w:rsidRDefault="00E970BD" w:rsidP="00E970BD">
      <w:pPr>
        <w:widowControl w:val="0"/>
        <w:suppressAutoHyphens/>
        <w:spacing w:after="0" w:line="240" w:lineRule="auto"/>
        <w:jc w:val="both"/>
        <w:rPr>
          <w:rFonts w:ascii="Arial" w:eastAsia="SimSun" w:hAnsi="Arial" w:cs="Arial"/>
          <w:kern w:val="1"/>
          <w:sz w:val="18"/>
          <w:szCs w:val="18"/>
          <w:lang w:eastAsia="zh-CN" w:bidi="hi-IN"/>
        </w:rPr>
      </w:pPr>
      <w:r w:rsidRPr="00E970BD">
        <w:rPr>
          <w:rFonts w:ascii="Arial" w:eastAsia="SimSun" w:hAnsi="Arial" w:cs="Arial"/>
          <w:kern w:val="1"/>
          <w:sz w:val="18"/>
          <w:szCs w:val="18"/>
          <w:lang w:eastAsia="zh-CN" w:bidi="hi-IN"/>
        </w:rPr>
        <w:t>Sodexo a donc décidé de faire les choix suivants :</w:t>
      </w:r>
    </w:p>
    <w:p w:rsidR="00E970BD" w:rsidRPr="00E970BD" w:rsidRDefault="00E970BD" w:rsidP="00E970BD">
      <w:pPr>
        <w:widowControl w:val="0"/>
        <w:numPr>
          <w:ilvl w:val="0"/>
          <w:numId w:val="4"/>
        </w:numPr>
        <w:suppressAutoHyphens/>
        <w:spacing w:after="0" w:line="240" w:lineRule="auto"/>
        <w:jc w:val="both"/>
        <w:rPr>
          <w:rFonts w:ascii="Arial" w:eastAsia="SimSun" w:hAnsi="Arial" w:cs="Arial"/>
          <w:kern w:val="1"/>
          <w:sz w:val="18"/>
          <w:szCs w:val="18"/>
          <w:lang w:eastAsia="zh-CN" w:bidi="hi-IN"/>
        </w:rPr>
      </w:pPr>
      <w:r w:rsidRPr="00E970BD">
        <w:rPr>
          <w:rFonts w:ascii="Arial" w:eastAsia="SimSun" w:hAnsi="Arial" w:cs="Arial"/>
          <w:kern w:val="1"/>
          <w:sz w:val="18"/>
          <w:szCs w:val="18"/>
          <w:lang w:eastAsia="zh-CN" w:bidi="hi-IN"/>
        </w:rPr>
        <w:t>Maintenir une grande variété de poissons pêchés</w:t>
      </w:r>
    </w:p>
    <w:p w:rsidR="00E970BD" w:rsidRPr="00E970BD" w:rsidRDefault="00E970BD" w:rsidP="00E970BD">
      <w:pPr>
        <w:widowControl w:val="0"/>
        <w:numPr>
          <w:ilvl w:val="0"/>
          <w:numId w:val="4"/>
        </w:numPr>
        <w:suppressAutoHyphens/>
        <w:spacing w:after="0" w:line="240" w:lineRule="auto"/>
        <w:jc w:val="both"/>
        <w:rPr>
          <w:rFonts w:ascii="Arial" w:eastAsia="SimSun" w:hAnsi="Arial" w:cs="Arial"/>
          <w:kern w:val="1"/>
          <w:sz w:val="18"/>
          <w:szCs w:val="18"/>
          <w:lang w:eastAsia="zh-CN" w:bidi="hi-IN"/>
        </w:rPr>
      </w:pPr>
      <w:r w:rsidRPr="00E970BD">
        <w:rPr>
          <w:rFonts w:ascii="Arial" w:eastAsia="SimSun" w:hAnsi="Arial" w:cs="Arial"/>
          <w:kern w:val="1"/>
          <w:sz w:val="18"/>
          <w:szCs w:val="18"/>
          <w:lang w:eastAsia="zh-CN" w:bidi="hi-IN"/>
        </w:rPr>
        <w:lastRenderedPageBreak/>
        <w:t>Supprimer de ses approvisionnements les espèces menacées (thon rouge par ex)</w:t>
      </w:r>
    </w:p>
    <w:p w:rsidR="00E970BD" w:rsidRPr="00E970BD" w:rsidRDefault="00E970BD" w:rsidP="00E970BD">
      <w:pPr>
        <w:widowControl w:val="0"/>
        <w:numPr>
          <w:ilvl w:val="0"/>
          <w:numId w:val="4"/>
        </w:numPr>
        <w:suppressAutoHyphens/>
        <w:spacing w:after="0" w:line="240" w:lineRule="auto"/>
        <w:jc w:val="both"/>
        <w:rPr>
          <w:rFonts w:ascii="Arial" w:eastAsia="SimSun" w:hAnsi="Arial" w:cs="Arial"/>
          <w:kern w:val="1"/>
          <w:sz w:val="18"/>
          <w:szCs w:val="18"/>
          <w:lang w:eastAsia="zh-CN" w:bidi="hi-IN"/>
        </w:rPr>
      </w:pPr>
      <w:r w:rsidRPr="00E970BD">
        <w:rPr>
          <w:rFonts w:ascii="Arial" w:eastAsia="SimSun" w:hAnsi="Arial" w:cs="Arial"/>
          <w:kern w:val="1"/>
          <w:sz w:val="18"/>
          <w:szCs w:val="18"/>
          <w:lang w:eastAsia="zh-CN" w:bidi="hi-IN"/>
        </w:rPr>
        <w:t>Travailler sur les éco labels</w:t>
      </w:r>
    </w:p>
    <w:p w:rsidR="00E970BD" w:rsidRPr="00E970BD" w:rsidRDefault="00E970BD" w:rsidP="00E970BD">
      <w:pPr>
        <w:widowControl w:val="0"/>
        <w:numPr>
          <w:ilvl w:val="0"/>
          <w:numId w:val="4"/>
        </w:numPr>
        <w:suppressAutoHyphens/>
        <w:spacing w:after="0" w:line="240" w:lineRule="auto"/>
        <w:jc w:val="both"/>
        <w:rPr>
          <w:rFonts w:ascii="Arial" w:eastAsia="SimSun" w:hAnsi="Arial" w:cs="Arial"/>
          <w:kern w:val="1"/>
          <w:sz w:val="18"/>
          <w:szCs w:val="18"/>
          <w:lang w:eastAsia="zh-CN" w:bidi="hi-IN"/>
        </w:rPr>
      </w:pPr>
      <w:r w:rsidRPr="00E970BD">
        <w:rPr>
          <w:rFonts w:ascii="Arial" w:eastAsia="SimSun" w:hAnsi="Arial" w:cs="Arial"/>
          <w:kern w:val="1"/>
          <w:sz w:val="18"/>
          <w:szCs w:val="18"/>
          <w:lang w:eastAsia="zh-CN" w:bidi="hi-IN"/>
        </w:rPr>
        <w:t>Signer un accord mondial avec WWF pour de bonnes pratiques de pêche</w:t>
      </w:r>
    </w:p>
    <w:p w:rsidR="00E970BD" w:rsidRPr="00E970BD" w:rsidRDefault="00E970BD" w:rsidP="00E970BD">
      <w:pPr>
        <w:widowControl w:val="0"/>
        <w:numPr>
          <w:ilvl w:val="0"/>
          <w:numId w:val="4"/>
        </w:numPr>
        <w:suppressAutoHyphens/>
        <w:spacing w:after="0" w:line="240" w:lineRule="auto"/>
        <w:jc w:val="both"/>
        <w:rPr>
          <w:rFonts w:ascii="Arial" w:eastAsia="SimSun" w:hAnsi="Arial" w:cs="Arial"/>
          <w:kern w:val="1"/>
          <w:sz w:val="18"/>
          <w:szCs w:val="18"/>
          <w:lang w:eastAsia="zh-CN" w:bidi="hi-IN"/>
        </w:rPr>
      </w:pPr>
      <w:r w:rsidRPr="00E970BD">
        <w:rPr>
          <w:rFonts w:ascii="Arial" w:eastAsia="SimSun" w:hAnsi="Arial" w:cs="Arial"/>
          <w:kern w:val="1"/>
          <w:sz w:val="18"/>
          <w:szCs w:val="18"/>
          <w:lang w:eastAsia="zh-CN" w:bidi="hi-IN"/>
        </w:rPr>
        <w:t>Mettre en place le label MSC pour une pêche durable</w:t>
      </w:r>
    </w:p>
    <w:p w:rsidR="00E970BD" w:rsidRPr="00E970BD" w:rsidRDefault="00E970BD" w:rsidP="00E970BD">
      <w:pPr>
        <w:widowControl w:val="0"/>
        <w:numPr>
          <w:ilvl w:val="0"/>
          <w:numId w:val="4"/>
        </w:numPr>
        <w:suppressAutoHyphens/>
        <w:spacing w:after="0" w:line="240" w:lineRule="auto"/>
        <w:jc w:val="both"/>
        <w:rPr>
          <w:rFonts w:ascii="Arial" w:eastAsia="SimSun" w:hAnsi="Arial" w:cs="Arial"/>
          <w:kern w:val="1"/>
          <w:sz w:val="18"/>
          <w:szCs w:val="18"/>
          <w:lang w:eastAsia="zh-CN" w:bidi="hi-IN"/>
        </w:rPr>
      </w:pPr>
      <w:r w:rsidRPr="00E970BD">
        <w:rPr>
          <w:rFonts w:ascii="Arial" w:eastAsia="SimSun" w:hAnsi="Arial" w:cs="Arial"/>
          <w:kern w:val="1"/>
          <w:sz w:val="18"/>
          <w:szCs w:val="18"/>
          <w:lang w:eastAsia="zh-CN" w:bidi="hi-IN"/>
        </w:rPr>
        <w:t>Travailler sur l’aquaculture (1 poisson pêché sur 2 dans le monde)</w:t>
      </w:r>
    </w:p>
    <w:p w:rsidR="00E970BD" w:rsidRPr="00E970BD" w:rsidRDefault="00E970BD" w:rsidP="00E970BD">
      <w:pPr>
        <w:widowControl w:val="0"/>
        <w:suppressAutoHyphens/>
        <w:spacing w:after="0" w:line="240" w:lineRule="auto"/>
        <w:jc w:val="both"/>
        <w:rPr>
          <w:rFonts w:ascii="Arial" w:eastAsia="SimSun" w:hAnsi="Arial" w:cs="Arial"/>
          <w:kern w:val="1"/>
          <w:sz w:val="18"/>
          <w:szCs w:val="18"/>
          <w:lang w:eastAsia="zh-CN" w:bidi="hi-IN"/>
        </w:rPr>
      </w:pPr>
      <w:r w:rsidRPr="00E970BD">
        <w:rPr>
          <w:rFonts w:ascii="Arial" w:eastAsia="SimSun" w:hAnsi="Arial" w:cs="Arial"/>
          <w:kern w:val="1"/>
          <w:sz w:val="18"/>
          <w:szCs w:val="18"/>
          <w:lang w:eastAsia="zh-CN" w:bidi="hi-IN"/>
        </w:rPr>
        <w:t>Les risques sont évalués chez Sodexo grâce à des indicateurs GRI ou de respects des lois locales</w:t>
      </w:r>
    </w:p>
    <w:p w:rsidR="00E970BD" w:rsidRPr="00E970BD" w:rsidRDefault="00E970BD" w:rsidP="00E970BD">
      <w:pPr>
        <w:widowControl w:val="0"/>
        <w:suppressAutoHyphens/>
        <w:spacing w:after="0" w:line="240" w:lineRule="auto"/>
        <w:jc w:val="both"/>
        <w:rPr>
          <w:rFonts w:ascii="Arial" w:eastAsia="SimSun" w:hAnsi="Arial" w:cs="Arial"/>
          <w:kern w:val="1"/>
          <w:sz w:val="18"/>
          <w:szCs w:val="18"/>
          <w:lang w:eastAsia="zh-CN" w:bidi="hi-IN"/>
        </w:rPr>
      </w:pPr>
    </w:p>
    <w:p w:rsidR="00E970BD" w:rsidRPr="00E970BD" w:rsidRDefault="00E970BD" w:rsidP="00E970BD">
      <w:pPr>
        <w:spacing w:before="100" w:beforeAutospacing="1" w:after="100" w:afterAutospacing="1" w:line="240" w:lineRule="auto"/>
        <w:ind w:left="360"/>
        <w:jc w:val="center"/>
        <w:outlineLvl w:val="1"/>
        <w:rPr>
          <w:rFonts w:ascii="Times New Roman" w:eastAsia="Times New Roman" w:hAnsi="Times New Roman" w:cs="Times New Roman"/>
          <w:b/>
          <w:bCs/>
          <w:sz w:val="20"/>
          <w:szCs w:val="20"/>
          <w:lang w:eastAsia="fr-FR"/>
        </w:rPr>
      </w:pPr>
      <w:r w:rsidRPr="00E970BD">
        <w:rPr>
          <w:rFonts w:ascii="Times New Roman" w:eastAsia="Times New Roman" w:hAnsi="Times New Roman" w:cs="Times New Roman"/>
          <w:b/>
          <w:bCs/>
          <w:sz w:val="20"/>
          <w:szCs w:val="20"/>
          <w:lang w:eastAsia="fr-FR"/>
        </w:rPr>
        <w:t>Indicateurs de performance environnementale Sodexo</w:t>
      </w:r>
    </w:p>
    <w:tbl>
      <w:tblPr>
        <w:tblW w:w="5000" w:type="pct"/>
        <w:tblCellSpacing w:w="0" w:type="dxa"/>
        <w:tblInd w:w="720" w:type="dxa"/>
        <w:tblCellMar>
          <w:left w:w="0" w:type="dxa"/>
          <w:right w:w="0" w:type="dxa"/>
        </w:tblCellMar>
        <w:tblLook w:val="0000" w:firstRow="0" w:lastRow="0" w:firstColumn="0" w:lastColumn="0" w:noHBand="0" w:noVBand="0"/>
      </w:tblPr>
      <w:tblGrid>
        <w:gridCol w:w="509"/>
        <w:gridCol w:w="6"/>
        <w:gridCol w:w="5050"/>
        <w:gridCol w:w="6"/>
        <w:gridCol w:w="1113"/>
        <w:gridCol w:w="6"/>
        <w:gridCol w:w="2382"/>
      </w:tblGrid>
      <w:tr w:rsidR="00E970BD" w:rsidRPr="00E970BD" w:rsidTr="009C1DAE">
        <w:trPr>
          <w:tblCellSpacing w:w="0" w:type="dxa"/>
        </w:trPr>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b/>
                <w:bCs/>
                <w:sz w:val="18"/>
                <w:szCs w:val="18"/>
                <w:lang w:eastAsia="fr-FR"/>
              </w:rPr>
              <w:t>Réf. GRI</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b/>
                <w:bCs/>
                <w:sz w:val="18"/>
                <w:szCs w:val="18"/>
                <w:lang w:eastAsia="fr-FR"/>
              </w:rPr>
              <w:t>Élément d’information requis</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 </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b/>
                <w:bCs/>
                <w:sz w:val="18"/>
                <w:szCs w:val="18"/>
                <w:lang w:eastAsia="fr-FR"/>
              </w:rPr>
              <w:t>Section du rapport</w:t>
            </w:r>
          </w:p>
        </w:tc>
      </w:tr>
      <w:tr w:rsidR="00E970BD" w:rsidRPr="00E970BD" w:rsidTr="009C1DAE">
        <w:trPr>
          <w:tblCellSpacing w:w="0" w:type="dxa"/>
        </w:trPr>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DAG</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Approche de gestion, buts, rendement, politiques, information contextuelle</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Inclus</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C52BCE" w:rsidP="00E970BD">
            <w:pPr>
              <w:spacing w:after="0" w:line="240" w:lineRule="auto"/>
              <w:rPr>
                <w:rFonts w:ascii="Times New Roman" w:eastAsia="Times New Roman" w:hAnsi="Times New Roman" w:cs="Times New Roman"/>
                <w:sz w:val="18"/>
                <w:szCs w:val="18"/>
                <w:lang w:eastAsia="fr-FR"/>
              </w:rPr>
            </w:pPr>
            <w:hyperlink r:id="rId9" w:history="1">
              <w:r w:rsidR="00E970BD" w:rsidRPr="00E970BD">
                <w:rPr>
                  <w:rFonts w:ascii="Times New Roman" w:eastAsia="Times New Roman" w:hAnsi="Times New Roman" w:cs="Times New Roman"/>
                  <w:color w:val="0000FF"/>
                  <w:sz w:val="18"/>
                  <w:szCs w:val="18"/>
                  <w:u w:val="single"/>
                  <w:lang w:eastAsia="fr-FR"/>
                </w:rPr>
                <w:t>Environnement</w:t>
              </w:r>
            </w:hyperlink>
          </w:p>
        </w:tc>
      </w:tr>
      <w:tr w:rsidR="00E970BD" w:rsidRPr="00E970BD" w:rsidTr="009C1DAE">
        <w:trPr>
          <w:tblCellSpacing w:w="0" w:type="dxa"/>
        </w:trPr>
        <w:tc>
          <w:tcPr>
            <w:tcW w:w="0" w:type="auto"/>
            <w:gridSpan w:val="7"/>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b/>
                <w:bCs/>
                <w:sz w:val="18"/>
                <w:szCs w:val="18"/>
                <w:lang w:eastAsia="fr-FR"/>
              </w:rPr>
              <w:t>Énergie</w:t>
            </w:r>
          </w:p>
        </w:tc>
      </w:tr>
      <w:tr w:rsidR="00E970BD" w:rsidRPr="00E970BD" w:rsidTr="009C1DAE">
        <w:trPr>
          <w:tblCellSpacing w:w="0" w:type="dxa"/>
        </w:trPr>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EN3</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Consommation directe d’énergie</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Inclus</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C52BCE" w:rsidP="00E970BD">
            <w:pPr>
              <w:spacing w:after="0" w:line="240" w:lineRule="auto"/>
              <w:rPr>
                <w:rFonts w:ascii="Times New Roman" w:eastAsia="Times New Roman" w:hAnsi="Times New Roman" w:cs="Times New Roman"/>
                <w:sz w:val="18"/>
                <w:szCs w:val="18"/>
                <w:lang w:eastAsia="fr-FR"/>
              </w:rPr>
            </w:pPr>
            <w:hyperlink r:id="rId10" w:history="1">
              <w:r w:rsidR="00E970BD" w:rsidRPr="00E970BD">
                <w:rPr>
                  <w:rFonts w:ascii="Times New Roman" w:eastAsia="Times New Roman" w:hAnsi="Times New Roman" w:cs="Times New Roman"/>
                  <w:color w:val="0000FF"/>
                  <w:sz w:val="18"/>
                  <w:szCs w:val="18"/>
                  <w:u w:val="single"/>
                  <w:lang w:eastAsia="fr-FR"/>
                </w:rPr>
                <w:t>Empreinte environnementale</w:t>
              </w:r>
            </w:hyperlink>
          </w:p>
        </w:tc>
      </w:tr>
      <w:tr w:rsidR="00E970BD" w:rsidRPr="00E970BD" w:rsidTr="009C1DAE">
        <w:trPr>
          <w:tblCellSpacing w:w="0" w:type="dxa"/>
        </w:trPr>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EN4</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Consommation indirecte d’énergie</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Inclus</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C52BCE" w:rsidP="00E970BD">
            <w:pPr>
              <w:spacing w:after="0" w:line="240" w:lineRule="auto"/>
              <w:rPr>
                <w:rFonts w:ascii="Times New Roman" w:eastAsia="Times New Roman" w:hAnsi="Times New Roman" w:cs="Times New Roman"/>
                <w:sz w:val="18"/>
                <w:szCs w:val="18"/>
                <w:lang w:eastAsia="fr-FR"/>
              </w:rPr>
            </w:pPr>
            <w:hyperlink r:id="rId11" w:history="1">
              <w:r w:rsidR="00E970BD" w:rsidRPr="00E970BD">
                <w:rPr>
                  <w:rFonts w:ascii="Times New Roman" w:eastAsia="Times New Roman" w:hAnsi="Times New Roman" w:cs="Times New Roman"/>
                  <w:color w:val="0000FF"/>
                  <w:sz w:val="18"/>
                  <w:szCs w:val="18"/>
                  <w:u w:val="single"/>
                  <w:lang w:eastAsia="fr-FR"/>
                </w:rPr>
                <w:t>Empreinte environnementale</w:t>
              </w:r>
            </w:hyperlink>
          </w:p>
        </w:tc>
      </w:tr>
      <w:tr w:rsidR="00E970BD" w:rsidRPr="00E970BD" w:rsidTr="009C1DAE">
        <w:trPr>
          <w:tblCellSpacing w:w="0" w:type="dxa"/>
        </w:trPr>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EN5</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Énergie économisée grâce à l’efficacité énergétique</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Inclus</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C52BCE" w:rsidP="00E970BD">
            <w:pPr>
              <w:spacing w:after="0" w:line="240" w:lineRule="auto"/>
              <w:rPr>
                <w:rFonts w:ascii="Times New Roman" w:eastAsia="Times New Roman" w:hAnsi="Times New Roman" w:cs="Times New Roman"/>
                <w:sz w:val="18"/>
                <w:szCs w:val="18"/>
                <w:lang w:eastAsia="fr-FR"/>
              </w:rPr>
            </w:pPr>
            <w:hyperlink r:id="rId12" w:history="1">
              <w:r w:rsidR="00E970BD" w:rsidRPr="00E970BD">
                <w:rPr>
                  <w:rFonts w:ascii="Times New Roman" w:eastAsia="Times New Roman" w:hAnsi="Times New Roman" w:cs="Times New Roman"/>
                  <w:color w:val="0000FF"/>
                  <w:sz w:val="18"/>
                  <w:szCs w:val="18"/>
                  <w:u w:val="single"/>
                  <w:lang w:eastAsia="fr-FR"/>
                </w:rPr>
                <w:t>Efficacité énergétique</w:t>
              </w:r>
            </w:hyperlink>
            <w:r w:rsidR="00E970BD" w:rsidRPr="00E970BD">
              <w:rPr>
                <w:rFonts w:ascii="Times New Roman" w:eastAsia="Times New Roman" w:hAnsi="Times New Roman" w:cs="Times New Roman"/>
                <w:sz w:val="18"/>
                <w:szCs w:val="18"/>
                <w:lang w:eastAsia="fr-FR"/>
              </w:rPr>
              <w:br/>
            </w:r>
            <w:hyperlink r:id="rId13" w:history="1">
              <w:r w:rsidR="00E970BD" w:rsidRPr="00E970BD">
                <w:rPr>
                  <w:rFonts w:ascii="Times New Roman" w:eastAsia="Times New Roman" w:hAnsi="Times New Roman" w:cs="Times New Roman"/>
                  <w:color w:val="0000FF"/>
                  <w:sz w:val="18"/>
                  <w:szCs w:val="18"/>
                  <w:u w:val="single"/>
                  <w:lang w:eastAsia="fr-FR"/>
                </w:rPr>
                <w:t>Émissions de gaz à effet de serre</w:t>
              </w:r>
            </w:hyperlink>
            <w:r w:rsidR="00E970BD" w:rsidRPr="00E970BD">
              <w:rPr>
                <w:rFonts w:ascii="Times New Roman" w:eastAsia="Times New Roman" w:hAnsi="Times New Roman" w:cs="Times New Roman"/>
                <w:sz w:val="18"/>
                <w:szCs w:val="18"/>
                <w:lang w:eastAsia="fr-FR"/>
              </w:rPr>
              <w:br/>
            </w:r>
            <w:hyperlink r:id="rId14" w:history="1">
              <w:r w:rsidR="00E970BD" w:rsidRPr="00E970BD">
                <w:rPr>
                  <w:rFonts w:ascii="Times New Roman" w:eastAsia="Times New Roman" w:hAnsi="Times New Roman" w:cs="Times New Roman"/>
                  <w:color w:val="0000FF"/>
                  <w:sz w:val="18"/>
                  <w:szCs w:val="18"/>
                  <w:u w:val="single"/>
                  <w:lang w:eastAsia="fr-FR"/>
                </w:rPr>
                <w:t>Immeubles verts</w:t>
              </w:r>
            </w:hyperlink>
          </w:p>
        </w:tc>
      </w:tr>
      <w:tr w:rsidR="00E970BD" w:rsidRPr="00E970BD" w:rsidTr="009C1DAE">
        <w:trPr>
          <w:tblCellSpacing w:w="0" w:type="dxa"/>
        </w:trPr>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EN6</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 xml:space="preserve">Produits ou services </w:t>
            </w:r>
            <w:proofErr w:type="spellStart"/>
            <w:r w:rsidRPr="00E970BD">
              <w:rPr>
                <w:rFonts w:ascii="Times New Roman" w:eastAsia="Times New Roman" w:hAnsi="Times New Roman" w:cs="Times New Roman"/>
                <w:sz w:val="18"/>
                <w:szCs w:val="18"/>
                <w:lang w:eastAsia="fr-FR"/>
              </w:rPr>
              <w:t>éconergétiques</w:t>
            </w:r>
            <w:proofErr w:type="spellEnd"/>
            <w:r w:rsidRPr="00E970BD">
              <w:rPr>
                <w:rFonts w:ascii="Times New Roman" w:eastAsia="Times New Roman" w:hAnsi="Times New Roman" w:cs="Times New Roman"/>
                <w:sz w:val="18"/>
                <w:szCs w:val="18"/>
                <w:lang w:eastAsia="fr-FR"/>
              </w:rPr>
              <w:t xml:space="preserve"> ou basés sur de l’énergie renouvelable</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Inclus</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C52BCE" w:rsidP="00E970BD">
            <w:pPr>
              <w:spacing w:after="0" w:line="240" w:lineRule="auto"/>
              <w:rPr>
                <w:rFonts w:ascii="Times New Roman" w:eastAsia="Times New Roman" w:hAnsi="Times New Roman" w:cs="Times New Roman"/>
                <w:sz w:val="18"/>
                <w:szCs w:val="18"/>
                <w:lang w:eastAsia="fr-FR"/>
              </w:rPr>
            </w:pPr>
            <w:hyperlink r:id="rId15" w:history="1">
              <w:r w:rsidR="00E970BD" w:rsidRPr="00E970BD">
                <w:rPr>
                  <w:rFonts w:ascii="Times New Roman" w:eastAsia="Times New Roman" w:hAnsi="Times New Roman" w:cs="Times New Roman"/>
                  <w:color w:val="0000FF"/>
                  <w:sz w:val="18"/>
                  <w:szCs w:val="18"/>
                  <w:u w:val="single"/>
                  <w:lang w:eastAsia="fr-FR"/>
                </w:rPr>
                <w:t>Énergie renouvelable</w:t>
              </w:r>
            </w:hyperlink>
            <w:r w:rsidR="00E970BD" w:rsidRPr="00E970BD">
              <w:rPr>
                <w:rFonts w:ascii="Times New Roman" w:eastAsia="Times New Roman" w:hAnsi="Times New Roman" w:cs="Times New Roman"/>
                <w:sz w:val="18"/>
                <w:szCs w:val="18"/>
                <w:lang w:eastAsia="fr-FR"/>
              </w:rPr>
              <w:br/>
            </w:r>
            <w:hyperlink r:id="rId16" w:history="1">
              <w:r w:rsidR="00E970BD" w:rsidRPr="00E970BD">
                <w:rPr>
                  <w:rFonts w:ascii="Times New Roman" w:eastAsia="Times New Roman" w:hAnsi="Times New Roman" w:cs="Times New Roman"/>
                  <w:color w:val="0000FF"/>
                  <w:sz w:val="18"/>
                  <w:szCs w:val="18"/>
                  <w:u w:val="single"/>
                  <w:lang w:eastAsia="fr-FR"/>
                </w:rPr>
                <w:t xml:space="preserve">Cas concret sur la Nation </w:t>
              </w:r>
              <w:proofErr w:type="spellStart"/>
              <w:r w:rsidR="00E970BD" w:rsidRPr="00E970BD">
                <w:rPr>
                  <w:rFonts w:ascii="Times New Roman" w:eastAsia="Times New Roman" w:hAnsi="Times New Roman" w:cs="Times New Roman"/>
                  <w:color w:val="0000FF"/>
                  <w:sz w:val="18"/>
                  <w:szCs w:val="18"/>
                  <w:u w:val="single"/>
                  <w:lang w:eastAsia="fr-FR"/>
                </w:rPr>
                <w:t>Munsee</w:t>
              </w:r>
              <w:proofErr w:type="spellEnd"/>
              <w:r w:rsidR="00E970BD" w:rsidRPr="00E970BD">
                <w:rPr>
                  <w:rFonts w:ascii="Times New Roman" w:eastAsia="Times New Roman" w:hAnsi="Times New Roman" w:cs="Times New Roman"/>
                  <w:color w:val="0000FF"/>
                  <w:sz w:val="18"/>
                  <w:szCs w:val="18"/>
                  <w:u w:val="single"/>
                  <w:lang w:eastAsia="fr-FR"/>
                </w:rPr>
                <w:t>-Delaware</w:t>
              </w:r>
            </w:hyperlink>
            <w:r w:rsidR="00E970BD" w:rsidRPr="00E970BD">
              <w:rPr>
                <w:rFonts w:ascii="Times New Roman" w:eastAsia="Times New Roman" w:hAnsi="Times New Roman" w:cs="Times New Roman"/>
                <w:sz w:val="18"/>
                <w:szCs w:val="18"/>
                <w:lang w:eastAsia="fr-FR"/>
              </w:rPr>
              <w:br/>
            </w:r>
            <w:hyperlink r:id="rId17" w:history="1">
              <w:r w:rsidR="00E970BD" w:rsidRPr="00E970BD">
                <w:rPr>
                  <w:rFonts w:ascii="Times New Roman" w:eastAsia="Times New Roman" w:hAnsi="Times New Roman" w:cs="Times New Roman"/>
                  <w:color w:val="0000FF"/>
                  <w:sz w:val="18"/>
                  <w:szCs w:val="18"/>
                  <w:u w:val="single"/>
                  <w:lang w:eastAsia="fr-FR"/>
                </w:rPr>
                <w:t>Financement de projets d'énergie renouvelable</w:t>
              </w:r>
            </w:hyperlink>
          </w:p>
        </w:tc>
      </w:tr>
      <w:tr w:rsidR="00E970BD" w:rsidRPr="00E970BD" w:rsidTr="009C1DAE">
        <w:trPr>
          <w:tblCellSpacing w:w="0" w:type="dxa"/>
        </w:trPr>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EN7</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Initiatives pour réduire la consommation indirecte d’énergie</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Inclus</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C52BCE" w:rsidP="00E970BD">
            <w:pPr>
              <w:spacing w:after="0" w:line="240" w:lineRule="auto"/>
              <w:rPr>
                <w:rFonts w:ascii="Times New Roman" w:eastAsia="Times New Roman" w:hAnsi="Times New Roman" w:cs="Times New Roman"/>
                <w:sz w:val="18"/>
                <w:szCs w:val="18"/>
                <w:lang w:eastAsia="fr-FR"/>
              </w:rPr>
            </w:pPr>
            <w:hyperlink r:id="rId18" w:history="1">
              <w:r w:rsidR="00E970BD" w:rsidRPr="00E970BD">
                <w:rPr>
                  <w:rFonts w:ascii="Times New Roman" w:eastAsia="Times New Roman" w:hAnsi="Times New Roman" w:cs="Times New Roman"/>
                  <w:color w:val="0000FF"/>
                  <w:sz w:val="18"/>
                  <w:szCs w:val="18"/>
                  <w:u w:val="single"/>
                  <w:lang w:eastAsia="fr-FR"/>
                </w:rPr>
                <w:t>Gestion des déchets</w:t>
              </w:r>
            </w:hyperlink>
          </w:p>
        </w:tc>
      </w:tr>
      <w:tr w:rsidR="00E970BD" w:rsidRPr="00E970BD" w:rsidTr="009C1DAE">
        <w:trPr>
          <w:tblCellSpacing w:w="0" w:type="dxa"/>
        </w:trPr>
        <w:tc>
          <w:tcPr>
            <w:tcW w:w="0" w:type="auto"/>
            <w:gridSpan w:val="7"/>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b/>
                <w:bCs/>
                <w:sz w:val="18"/>
                <w:szCs w:val="18"/>
                <w:lang w:eastAsia="fr-FR"/>
              </w:rPr>
              <w:t>Biodiversité</w:t>
            </w:r>
          </w:p>
        </w:tc>
      </w:tr>
      <w:tr w:rsidR="00E970BD" w:rsidRPr="00E970BD" w:rsidTr="009C1DAE">
        <w:trPr>
          <w:tblCellSpacing w:w="0" w:type="dxa"/>
        </w:trPr>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EN11</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Emplacement et superficie des terrains détenus, loués ou gérés dans des aires protégées ou au voisinage de celles-ci et en zones riches en biodiversité en dehors de ces aires protégées</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Inclus</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C52BCE" w:rsidP="00E970BD">
            <w:pPr>
              <w:spacing w:after="0" w:line="240" w:lineRule="auto"/>
              <w:rPr>
                <w:rFonts w:ascii="Times New Roman" w:eastAsia="Times New Roman" w:hAnsi="Times New Roman" w:cs="Times New Roman"/>
                <w:sz w:val="18"/>
                <w:szCs w:val="18"/>
                <w:lang w:eastAsia="fr-FR"/>
              </w:rPr>
            </w:pPr>
            <w:hyperlink r:id="rId19" w:history="1">
              <w:r w:rsidR="00E970BD" w:rsidRPr="00E970BD">
                <w:rPr>
                  <w:rFonts w:ascii="Times New Roman" w:eastAsia="Times New Roman" w:hAnsi="Times New Roman" w:cs="Times New Roman"/>
                  <w:color w:val="0000FF"/>
                  <w:sz w:val="18"/>
                  <w:szCs w:val="18"/>
                  <w:u w:val="single"/>
                  <w:lang w:eastAsia="fr-FR"/>
                </w:rPr>
                <w:t>Immeubles verts</w:t>
              </w:r>
            </w:hyperlink>
          </w:p>
        </w:tc>
      </w:tr>
      <w:tr w:rsidR="00E970BD" w:rsidRPr="00E970BD" w:rsidTr="009C1DAE">
        <w:trPr>
          <w:tblCellSpacing w:w="0" w:type="dxa"/>
        </w:trPr>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EN12</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Impacts sur les régions riches en biodiversité</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Inclus</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C52BCE" w:rsidP="00E970BD">
            <w:pPr>
              <w:spacing w:after="0" w:line="240" w:lineRule="auto"/>
              <w:rPr>
                <w:rFonts w:ascii="Times New Roman" w:eastAsia="Times New Roman" w:hAnsi="Times New Roman" w:cs="Times New Roman"/>
                <w:sz w:val="18"/>
                <w:szCs w:val="18"/>
                <w:lang w:eastAsia="fr-FR"/>
              </w:rPr>
            </w:pPr>
            <w:hyperlink r:id="rId20" w:history="1">
              <w:r w:rsidR="00E970BD" w:rsidRPr="00E970BD">
                <w:rPr>
                  <w:rFonts w:ascii="Times New Roman" w:eastAsia="Times New Roman" w:hAnsi="Times New Roman" w:cs="Times New Roman"/>
                  <w:color w:val="0000FF"/>
                  <w:sz w:val="18"/>
                  <w:szCs w:val="18"/>
                  <w:u w:val="single"/>
                  <w:lang w:eastAsia="fr-FR"/>
                </w:rPr>
                <w:t>Immeubles verts</w:t>
              </w:r>
            </w:hyperlink>
            <w:r w:rsidR="00E970BD" w:rsidRPr="00E970BD">
              <w:rPr>
                <w:rFonts w:ascii="Times New Roman" w:eastAsia="Times New Roman" w:hAnsi="Times New Roman" w:cs="Times New Roman"/>
                <w:sz w:val="18"/>
                <w:szCs w:val="18"/>
                <w:lang w:eastAsia="fr-FR"/>
              </w:rPr>
              <w:br/>
            </w:r>
            <w:hyperlink r:id="rId21" w:history="1">
              <w:r w:rsidR="00E970BD" w:rsidRPr="00E970BD">
                <w:rPr>
                  <w:rFonts w:ascii="Times New Roman" w:eastAsia="Times New Roman" w:hAnsi="Times New Roman" w:cs="Times New Roman"/>
                  <w:color w:val="0000FF"/>
                  <w:sz w:val="18"/>
                  <w:szCs w:val="18"/>
                  <w:u w:val="single"/>
                  <w:lang w:eastAsia="fr-FR"/>
                </w:rPr>
                <w:t>Financement responsable</w:t>
              </w:r>
            </w:hyperlink>
          </w:p>
        </w:tc>
      </w:tr>
      <w:tr w:rsidR="00E970BD" w:rsidRPr="00E970BD" w:rsidTr="009C1DAE">
        <w:trPr>
          <w:tblCellSpacing w:w="0" w:type="dxa"/>
        </w:trPr>
        <w:tc>
          <w:tcPr>
            <w:tcW w:w="0" w:type="auto"/>
            <w:gridSpan w:val="7"/>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b/>
                <w:bCs/>
                <w:sz w:val="18"/>
                <w:szCs w:val="18"/>
                <w:lang w:eastAsia="fr-FR"/>
              </w:rPr>
              <w:t>Émissions, effluents et déchets</w:t>
            </w:r>
          </w:p>
        </w:tc>
      </w:tr>
      <w:tr w:rsidR="00E970BD" w:rsidRPr="00E970BD" w:rsidTr="009C1DAE">
        <w:trPr>
          <w:tblCellSpacing w:w="0" w:type="dxa"/>
        </w:trPr>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EN16</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Émissions totales, directes ou indirectes, de gaz à effet de serre, en poids</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Inclus</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C52BCE" w:rsidP="00E970BD">
            <w:pPr>
              <w:spacing w:after="0" w:line="240" w:lineRule="auto"/>
              <w:rPr>
                <w:rFonts w:ascii="Times New Roman" w:eastAsia="Times New Roman" w:hAnsi="Times New Roman" w:cs="Times New Roman"/>
                <w:sz w:val="18"/>
                <w:szCs w:val="18"/>
                <w:lang w:eastAsia="fr-FR"/>
              </w:rPr>
            </w:pPr>
            <w:hyperlink r:id="rId22" w:history="1">
              <w:r w:rsidR="00E970BD" w:rsidRPr="00E970BD">
                <w:rPr>
                  <w:rFonts w:ascii="Times New Roman" w:eastAsia="Times New Roman" w:hAnsi="Times New Roman" w:cs="Times New Roman"/>
                  <w:color w:val="0000FF"/>
                  <w:sz w:val="18"/>
                  <w:szCs w:val="18"/>
                  <w:u w:val="single"/>
                  <w:lang w:eastAsia="fr-FR"/>
                </w:rPr>
                <w:t>Empreinte environnementale</w:t>
              </w:r>
            </w:hyperlink>
            <w:r w:rsidR="00E970BD" w:rsidRPr="00E970BD">
              <w:rPr>
                <w:rFonts w:ascii="Times New Roman" w:eastAsia="Times New Roman" w:hAnsi="Times New Roman" w:cs="Times New Roman"/>
                <w:sz w:val="18"/>
                <w:szCs w:val="18"/>
                <w:lang w:eastAsia="fr-FR"/>
              </w:rPr>
              <w:br/>
            </w:r>
            <w:hyperlink r:id="rId23" w:history="1">
              <w:r w:rsidR="00E970BD" w:rsidRPr="00E970BD">
                <w:rPr>
                  <w:rFonts w:ascii="Times New Roman" w:eastAsia="Times New Roman" w:hAnsi="Times New Roman" w:cs="Times New Roman"/>
                  <w:i/>
                  <w:iCs/>
                  <w:color w:val="0000FF"/>
                  <w:sz w:val="18"/>
                  <w:szCs w:val="18"/>
                  <w:u w:val="single"/>
                  <w:lang w:eastAsia="fr-FR"/>
                </w:rPr>
                <w:t>GHG Protocol</w:t>
              </w:r>
            </w:hyperlink>
          </w:p>
        </w:tc>
      </w:tr>
      <w:tr w:rsidR="00E970BD" w:rsidRPr="00E970BD" w:rsidTr="009C1DAE">
        <w:trPr>
          <w:tblCellSpacing w:w="0" w:type="dxa"/>
        </w:trPr>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EN17</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Autres émissions indirectes pertinentes de gaz à effet de serre, en poids</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Inclus</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C52BCE" w:rsidP="00E970BD">
            <w:pPr>
              <w:spacing w:after="0" w:line="240" w:lineRule="auto"/>
              <w:rPr>
                <w:rFonts w:ascii="Times New Roman" w:eastAsia="Times New Roman" w:hAnsi="Times New Roman" w:cs="Times New Roman"/>
                <w:sz w:val="18"/>
                <w:szCs w:val="18"/>
                <w:lang w:eastAsia="fr-FR"/>
              </w:rPr>
            </w:pPr>
            <w:hyperlink r:id="rId24" w:history="1">
              <w:r w:rsidR="00E970BD" w:rsidRPr="00E970BD">
                <w:rPr>
                  <w:rFonts w:ascii="Times New Roman" w:eastAsia="Times New Roman" w:hAnsi="Times New Roman" w:cs="Times New Roman"/>
                  <w:color w:val="0000FF"/>
                  <w:sz w:val="18"/>
                  <w:szCs w:val="18"/>
                  <w:u w:val="single"/>
                  <w:lang w:eastAsia="fr-FR"/>
                </w:rPr>
                <w:t>Empreinte environnementale</w:t>
              </w:r>
            </w:hyperlink>
          </w:p>
        </w:tc>
      </w:tr>
      <w:tr w:rsidR="00E970BD" w:rsidRPr="00E970BD" w:rsidTr="009C1DAE">
        <w:trPr>
          <w:tblCellSpacing w:w="0" w:type="dxa"/>
        </w:trPr>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EN18</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Initiatives pour réduire les émissions de gaz à effet de serre</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Inclus</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C52BCE" w:rsidP="00E970BD">
            <w:pPr>
              <w:spacing w:after="0" w:line="240" w:lineRule="auto"/>
              <w:rPr>
                <w:rFonts w:ascii="Times New Roman" w:eastAsia="Times New Roman" w:hAnsi="Times New Roman" w:cs="Times New Roman"/>
                <w:sz w:val="18"/>
                <w:szCs w:val="18"/>
                <w:lang w:eastAsia="fr-FR"/>
              </w:rPr>
            </w:pPr>
            <w:hyperlink r:id="rId25" w:history="1">
              <w:r w:rsidR="00E970BD" w:rsidRPr="00E970BD">
                <w:rPr>
                  <w:rFonts w:ascii="Times New Roman" w:eastAsia="Times New Roman" w:hAnsi="Times New Roman" w:cs="Times New Roman"/>
                  <w:color w:val="0000FF"/>
                  <w:sz w:val="18"/>
                  <w:szCs w:val="18"/>
                  <w:u w:val="single"/>
                  <w:lang w:eastAsia="fr-FR"/>
                </w:rPr>
                <w:t>Émissions de gaz à effet de serre</w:t>
              </w:r>
            </w:hyperlink>
          </w:p>
        </w:tc>
      </w:tr>
      <w:tr w:rsidR="00E970BD" w:rsidRPr="00E970BD" w:rsidTr="009C1DAE">
        <w:trPr>
          <w:tblCellSpacing w:w="0" w:type="dxa"/>
        </w:trPr>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EN22</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Masse totale de déchets, par type et par mode d’élimination</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Partiellement inclus</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C52BCE" w:rsidP="00E970BD">
            <w:pPr>
              <w:spacing w:after="0" w:line="240" w:lineRule="auto"/>
              <w:rPr>
                <w:rFonts w:ascii="Times New Roman" w:eastAsia="Times New Roman" w:hAnsi="Times New Roman" w:cs="Times New Roman"/>
                <w:sz w:val="18"/>
                <w:szCs w:val="18"/>
                <w:lang w:eastAsia="fr-FR"/>
              </w:rPr>
            </w:pPr>
            <w:hyperlink r:id="rId26" w:history="1">
              <w:r w:rsidR="00E970BD" w:rsidRPr="00E970BD">
                <w:rPr>
                  <w:rFonts w:ascii="Times New Roman" w:eastAsia="Times New Roman" w:hAnsi="Times New Roman" w:cs="Times New Roman"/>
                  <w:color w:val="0000FF"/>
                  <w:sz w:val="18"/>
                  <w:szCs w:val="18"/>
                  <w:u w:val="single"/>
                  <w:lang w:eastAsia="fr-FR"/>
                </w:rPr>
                <w:t>Gestion des déchets</w:t>
              </w:r>
            </w:hyperlink>
          </w:p>
        </w:tc>
      </w:tr>
      <w:tr w:rsidR="00E970BD" w:rsidRPr="00E970BD" w:rsidTr="009C1DAE">
        <w:trPr>
          <w:tblCellSpacing w:w="0" w:type="dxa"/>
        </w:trPr>
        <w:tc>
          <w:tcPr>
            <w:tcW w:w="0" w:type="auto"/>
            <w:gridSpan w:val="7"/>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b/>
                <w:bCs/>
                <w:sz w:val="18"/>
                <w:szCs w:val="18"/>
                <w:lang w:eastAsia="fr-FR"/>
              </w:rPr>
              <w:t>Produits et services</w:t>
            </w:r>
          </w:p>
        </w:tc>
      </w:tr>
      <w:tr w:rsidR="00E970BD" w:rsidRPr="00E970BD" w:rsidTr="009C1DAE">
        <w:trPr>
          <w:tblCellSpacing w:w="0" w:type="dxa"/>
        </w:trPr>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EN26</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Initiatives visant à atténuer les impacts des produits et services sur l’environnement</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Inclus</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C52BCE" w:rsidP="00E970BD">
            <w:pPr>
              <w:spacing w:after="0" w:line="240" w:lineRule="auto"/>
              <w:rPr>
                <w:rFonts w:ascii="Times New Roman" w:eastAsia="Times New Roman" w:hAnsi="Times New Roman" w:cs="Times New Roman"/>
                <w:sz w:val="18"/>
                <w:szCs w:val="18"/>
                <w:lang w:eastAsia="fr-FR"/>
              </w:rPr>
            </w:pPr>
            <w:hyperlink r:id="rId27" w:history="1">
              <w:r w:rsidR="00E970BD" w:rsidRPr="00E970BD">
                <w:rPr>
                  <w:rFonts w:ascii="Times New Roman" w:eastAsia="Times New Roman" w:hAnsi="Times New Roman" w:cs="Times New Roman"/>
                  <w:color w:val="0000FF"/>
                  <w:sz w:val="18"/>
                  <w:szCs w:val="18"/>
                  <w:u w:val="single"/>
                  <w:lang w:eastAsia="fr-FR"/>
                </w:rPr>
                <w:t>Immeubles verts</w:t>
              </w:r>
            </w:hyperlink>
            <w:r w:rsidR="00E970BD" w:rsidRPr="00E970BD">
              <w:rPr>
                <w:rFonts w:ascii="Times New Roman" w:eastAsia="Times New Roman" w:hAnsi="Times New Roman" w:cs="Times New Roman"/>
                <w:sz w:val="18"/>
                <w:szCs w:val="18"/>
                <w:lang w:eastAsia="fr-FR"/>
              </w:rPr>
              <w:br/>
            </w:r>
            <w:hyperlink r:id="rId28" w:history="1">
              <w:r w:rsidR="00E970BD" w:rsidRPr="00E970BD">
                <w:rPr>
                  <w:rFonts w:ascii="Times New Roman" w:eastAsia="Times New Roman" w:hAnsi="Times New Roman" w:cs="Times New Roman"/>
                  <w:color w:val="0000FF"/>
                  <w:sz w:val="18"/>
                  <w:szCs w:val="18"/>
                  <w:u w:val="single"/>
                  <w:lang w:eastAsia="fr-FR"/>
                </w:rPr>
                <w:t>Gestion des déchets</w:t>
              </w:r>
            </w:hyperlink>
            <w:r w:rsidR="00E970BD" w:rsidRPr="00E970BD">
              <w:rPr>
                <w:rFonts w:ascii="Times New Roman" w:eastAsia="Times New Roman" w:hAnsi="Times New Roman" w:cs="Times New Roman"/>
                <w:sz w:val="18"/>
                <w:szCs w:val="18"/>
                <w:lang w:eastAsia="fr-FR"/>
              </w:rPr>
              <w:br/>
            </w:r>
            <w:hyperlink r:id="rId29" w:history="1">
              <w:r w:rsidR="00E970BD" w:rsidRPr="00E970BD">
                <w:rPr>
                  <w:rFonts w:ascii="Times New Roman" w:eastAsia="Times New Roman" w:hAnsi="Times New Roman" w:cs="Times New Roman"/>
                  <w:color w:val="0000FF"/>
                  <w:sz w:val="18"/>
                  <w:szCs w:val="18"/>
                  <w:u w:val="single"/>
                  <w:lang w:eastAsia="fr-FR"/>
                </w:rPr>
                <w:t>Produits verts</w:t>
              </w:r>
            </w:hyperlink>
          </w:p>
        </w:tc>
      </w:tr>
      <w:tr w:rsidR="00E970BD" w:rsidRPr="00E970BD" w:rsidTr="009C1DAE">
        <w:trPr>
          <w:tblCellSpacing w:w="0" w:type="dxa"/>
        </w:trPr>
        <w:tc>
          <w:tcPr>
            <w:tcW w:w="0" w:type="auto"/>
            <w:gridSpan w:val="7"/>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b/>
                <w:bCs/>
                <w:sz w:val="18"/>
                <w:szCs w:val="18"/>
                <w:lang w:eastAsia="fr-FR"/>
              </w:rPr>
              <w:t>Respect des textes</w:t>
            </w:r>
          </w:p>
        </w:tc>
      </w:tr>
      <w:tr w:rsidR="00E970BD" w:rsidRPr="00E970BD" w:rsidTr="009C1DAE">
        <w:trPr>
          <w:tblCellSpacing w:w="0" w:type="dxa"/>
        </w:trPr>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EN28</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Amendes et sanctions importantes en raison du non-respect des lois et des règlements sur l’environnement</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Inclus</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C52BCE" w:rsidP="00E970BD">
            <w:pPr>
              <w:spacing w:after="0" w:line="240" w:lineRule="auto"/>
              <w:rPr>
                <w:rFonts w:ascii="Times New Roman" w:eastAsia="Times New Roman" w:hAnsi="Times New Roman" w:cs="Times New Roman"/>
                <w:sz w:val="18"/>
                <w:szCs w:val="18"/>
                <w:lang w:eastAsia="fr-FR"/>
              </w:rPr>
            </w:pPr>
            <w:hyperlink r:id="rId30" w:history="1">
              <w:r w:rsidR="00E970BD" w:rsidRPr="00E970BD">
                <w:rPr>
                  <w:rFonts w:ascii="Times New Roman" w:eastAsia="Times New Roman" w:hAnsi="Times New Roman" w:cs="Times New Roman"/>
                  <w:color w:val="0000FF"/>
                  <w:sz w:val="18"/>
                  <w:szCs w:val="18"/>
                  <w:u w:val="single"/>
                  <w:lang w:eastAsia="fr-FR"/>
                </w:rPr>
                <w:t>Code de conduite et d’éthique</w:t>
              </w:r>
            </w:hyperlink>
          </w:p>
        </w:tc>
      </w:tr>
      <w:tr w:rsidR="00E970BD" w:rsidRPr="00E970BD" w:rsidTr="009C1DAE">
        <w:trPr>
          <w:tblCellSpacing w:w="0" w:type="dxa"/>
        </w:trPr>
        <w:tc>
          <w:tcPr>
            <w:tcW w:w="0" w:type="auto"/>
            <w:gridSpan w:val="7"/>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b/>
                <w:bCs/>
                <w:sz w:val="18"/>
                <w:szCs w:val="18"/>
                <w:lang w:eastAsia="fr-FR"/>
              </w:rPr>
              <w:t>Généralités</w:t>
            </w:r>
          </w:p>
        </w:tc>
      </w:tr>
      <w:tr w:rsidR="00E970BD" w:rsidRPr="00E970BD" w:rsidTr="009C1DAE">
        <w:trPr>
          <w:tblCellSpacing w:w="0" w:type="dxa"/>
        </w:trPr>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EN30</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Total des dépenses et des investissements relatifs à la protection de l’environnement, par type</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r w:rsidRPr="00E970BD">
              <w:rPr>
                <w:rFonts w:ascii="Times New Roman" w:eastAsia="Times New Roman" w:hAnsi="Times New Roman" w:cs="Times New Roman"/>
                <w:sz w:val="18"/>
                <w:szCs w:val="18"/>
                <w:lang w:eastAsia="fr-FR"/>
              </w:rPr>
              <w:t>Inclus</w:t>
            </w:r>
          </w:p>
        </w:tc>
        <w:tc>
          <w:tcPr>
            <w:tcW w:w="0" w:type="auto"/>
            <w:vAlign w:val="center"/>
          </w:tcPr>
          <w:p w:rsidR="00E970BD" w:rsidRPr="00E970BD" w:rsidRDefault="00E970BD" w:rsidP="00E970BD">
            <w:pPr>
              <w:spacing w:after="0" w:line="240" w:lineRule="auto"/>
              <w:rPr>
                <w:rFonts w:ascii="Times New Roman" w:eastAsia="Times New Roman" w:hAnsi="Times New Roman" w:cs="Times New Roman"/>
                <w:sz w:val="18"/>
                <w:szCs w:val="18"/>
                <w:lang w:eastAsia="fr-FR"/>
              </w:rPr>
            </w:pPr>
          </w:p>
        </w:tc>
        <w:tc>
          <w:tcPr>
            <w:tcW w:w="0" w:type="auto"/>
            <w:vAlign w:val="center"/>
          </w:tcPr>
          <w:p w:rsidR="00E970BD" w:rsidRPr="00E970BD" w:rsidRDefault="00C52BCE" w:rsidP="00E970BD">
            <w:pPr>
              <w:spacing w:after="0" w:line="240" w:lineRule="auto"/>
              <w:rPr>
                <w:rFonts w:ascii="Times New Roman" w:eastAsia="Times New Roman" w:hAnsi="Times New Roman" w:cs="Times New Roman"/>
                <w:sz w:val="18"/>
                <w:szCs w:val="18"/>
                <w:lang w:eastAsia="fr-FR"/>
              </w:rPr>
            </w:pPr>
            <w:hyperlink r:id="rId31" w:history="1">
              <w:r w:rsidR="00E970BD" w:rsidRPr="00E970BD">
                <w:rPr>
                  <w:rFonts w:ascii="Times New Roman" w:eastAsia="Times New Roman" w:hAnsi="Times New Roman" w:cs="Times New Roman"/>
                  <w:color w:val="0000FF"/>
                  <w:sz w:val="18"/>
                  <w:szCs w:val="18"/>
                  <w:u w:val="single"/>
                  <w:lang w:eastAsia="fr-FR"/>
                </w:rPr>
                <w:t>Pratiques d’octroi de prêts, de crédit et de financement de projets</w:t>
              </w:r>
            </w:hyperlink>
          </w:p>
        </w:tc>
      </w:tr>
    </w:tbl>
    <w:p w:rsidR="00E970BD" w:rsidRPr="00E970BD" w:rsidRDefault="00E970BD" w:rsidP="00E970BD">
      <w:pPr>
        <w:spacing w:after="200" w:line="276" w:lineRule="auto"/>
        <w:jc w:val="right"/>
        <w:rPr>
          <w:rFonts w:ascii="Arial" w:eastAsia="Calibri" w:hAnsi="Arial" w:cs="Arial"/>
          <w:bCs/>
          <w:sz w:val="18"/>
          <w:szCs w:val="18"/>
        </w:rPr>
      </w:pPr>
      <w:r w:rsidRPr="00E970BD">
        <w:rPr>
          <w:rFonts w:ascii="Arial" w:eastAsia="Calibri" w:hAnsi="Arial" w:cs="Arial"/>
          <w:bCs/>
          <w:sz w:val="18"/>
          <w:szCs w:val="18"/>
        </w:rPr>
        <w:t>Damien Verdier, Directeur marketing du groupe Sodexo, conférence « les journées du management »</w:t>
      </w:r>
    </w:p>
    <w:p w:rsidR="00E970BD" w:rsidRDefault="00E970BD" w:rsidP="00E970BD">
      <w:pPr>
        <w:spacing w:after="200" w:line="276" w:lineRule="auto"/>
        <w:jc w:val="right"/>
        <w:rPr>
          <w:rFonts w:ascii="Arial" w:eastAsia="Calibri" w:hAnsi="Arial" w:cs="Arial"/>
          <w:bCs/>
          <w:sz w:val="18"/>
          <w:szCs w:val="18"/>
        </w:rPr>
      </w:pPr>
      <w:r w:rsidRPr="00E970BD">
        <w:rPr>
          <w:rFonts w:ascii="Arial" w:eastAsia="Calibri" w:hAnsi="Arial" w:cs="Arial"/>
          <w:bCs/>
          <w:sz w:val="18"/>
          <w:szCs w:val="18"/>
        </w:rPr>
        <w:t>« La gestion du risque avec la traçabilité chez Sodexo »</w:t>
      </w:r>
    </w:p>
    <w:p w:rsidR="004900FD" w:rsidRDefault="004900FD">
      <w:pPr>
        <w:rPr>
          <w:rFonts w:ascii="Arial" w:eastAsia="Calibri" w:hAnsi="Arial" w:cs="Arial"/>
          <w:bCs/>
          <w:sz w:val="18"/>
          <w:szCs w:val="18"/>
        </w:rPr>
      </w:pPr>
      <w:r>
        <w:rPr>
          <w:rFonts w:ascii="Arial" w:eastAsia="Calibri" w:hAnsi="Arial" w:cs="Arial"/>
          <w:bCs/>
          <w:sz w:val="18"/>
          <w:szCs w:val="18"/>
        </w:rPr>
        <w:br w:type="page"/>
      </w:r>
    </w:p>
    <w:p w:rsidR="004900FD" w:rsidRPr="00E970BD" w:rsidRDefault="004900FD" w:rsidP="00E970BD">
      <w:pPr>
        <w:spacing w:after="200" w:line="276" w:lineRule="auto"/>
        <w:jc w:val="right"/>
        <w:rPr>
          <w:rFonts w:ascii="Arial" w:eastAsia="Calibri" w:hAnsi="Arial" w:cs="Arial"/>
          <w:bCs/>
          <w:sz w:val="18"/>
          <w:szCs w:val="18"/>
        </w:rPr>
      </w:pPr>
    </w:p>
    <w:p w:rsidR="00E970BD" w:rsidRPr="00E970BD" w:rsidRDefault="00E970BD" w:rsidP="006216C0">
      <w:pPr>
        <w:shd w:val="clear" w:color="auto" w:fill="DEEAF6" w:themeFill="accent5" w:themeFillTint="33"/>
        <w:spacing w:after="200" w:line="276" w:lineRule="auto"/>
        <w:rPr>
          <w:rFonts w:ascii="Arial" w:eastAsia="Calibri" w:hAnsi="Arial" w:cs="Arial"/>
        </w:rPr>
      </w:pPr>
      <w:r w:rsidRPr="00E970BD">
        <w:rPr>
          <w:rFonts w:ascii="Arial" w:eastAsia="Calibri" w:hAnsi="Arial" w:cs="Arial"/>
        </w:rPr>
        <w:t>DOCUMENT : la RSE chez SUEZ</w:t>
      </w:r>
    </w:p>
    <w:p w:rsidR="00E970BD" w:rsidRPr="00E970BD" w:rsidRDefault="00E970BD" w:rsidP="00E970BD">
      <w:pPr>
        <w:spacing w:after="200" w:line="276" w:lineRule="auto"/>
        <w:jc w:val="both"/>
        <w:rPr>
          <w:rFonts w:ascii="Arial" w:eastAsia="Calibri" w:hAnsi="Arial" w:cs="Arial"/>
          <w:sz w:val="20"/>
          <w:szCs w:val="20"/>
        </w:rPr>
      </w:pPr>
      <w:r w:rsidRPr="00E970BD">
        <w:rPr>
          <w:rFonts w:ascii="Arial" w:eastAsia="Calibri" w:hAnsi="Arial" w:cs="Arial"/>
          <w:sz w:val="20"/>
          <w:szCs w:val="20"/>
        </w:rPr>
        <w:t>« C’est non seulement ma conviction, une exigence mais aussi un constat : notre performance (sociale) fait progresser notre performance économique. Elle est inhérente à notre mission d’acteur engagé dans le développement durable. ». La performance n’est pas sociale. Elle doit être à la fois économique et sociale : les deux sont intimement liées. Parmi les critères essentiels intervenant dans la performance sociale et économique de l’entreprise figure le développement des savoir-faire professionnels. Nous souhaitons par exemple maintenir un effort de 15 heures de formation en moyenne par collaborateur et par an. Tous les savoir-faire présents dans l’entreprise doivent être formalisés et transmis et les nouvelles compétences en permanence valorisées. Nous œuvrons aussi à faire progresser la sécurité au travail. La réduction du taux de fréquence et de gravité depuis 10 ans est remarquable. Suez a également décidé de faire de la diversité un axe clé de sa stratégie.</w:t>
      </w:r>
    </w:p>
    <w:p w:rsidR="00E970BD" w:rsidRDefault="00E970BD" w:rsidP="006216C0">
      <w:pPr>
        <w:spacing w:after="200" w:line="276" w:lineRule="auto"/>
        <w:rPr>
          <w:rFonts w:ascii="Calibri" w:eastAsia="Calibri" w:hAnsi="Calibri" w:cs="Times New Roman"/>
          <w:sz w:val="18"/>
          <w:szCs w:val="18"/>
        </w:rPr>
      </w:pPr>
      <w:r w:rsidRPr="00E970BD">
        <w:rPr>
          <w:rFonts w:ascii="Calibri" w:eastAsia="Calibri" w:hAnsi="Calibri" w:cs="Times New Roman"/>
          <w:sz w:val="18"/>
          <w:szCs w:val="18"/>
        </w:rPr>
        <w:t xml:space="preserve">Jean Louis </w:t>
      </w:r>
      <w:proofErr w:type="spellStart"/>
      <w:r w:rsidRPr="00E970BD">
        <w:rPr>
          <w:rFonts w:ascii="Calibri" w:eastAsia="Calibri" w:hAnsi="Calibri" w:cs="Times New Roman"/>
          <w:sz w:val="18"/>
          <w:szCs w:val="18"/>
        </w:rPr>
        <w:t>Chaussade</w:t>
      </w:r>
      <w:proofErr w:type="spellEnd"/>
      <w:r w:rsidRPr="00E970BD">
        <w:rPr>
          <w:rFonts w:ascii="Calibri" w:eastAsia="Calibri" w:hAnsi="Calibri" w:cs="Times New Roman"/>
          <w:sz w:val="18"/>
          <w:szCs w:val="18"/>
        </w:rPr>
        <w:t>, DG Suez Environnement</w:t>
      </w:r>
    </w:p>
    <w:p w:rsidR="004900FD" w:rsidRDefault="004900FD" w:rsidP="006216C0">
      <w:pPr>
        <w:spacing w:after="200" w:line="276" w:lineRule="auto"/>
        <w:rPr>
          <w:rFonts w:ascii="Calibri" w:eastAsia="Calibri" w:hAnsi="Calibri" w:cs="Times New Roman"/>
          <w:sz w:val="18"/>
          <w:szCs w:val="18"/>
        </w:rPr>
      </w:pPr>
      <w:bookmarkStart w:id="0" w:name="_GoBack"/>
      <w:bookmarkEnd w:id="0"/>
    </w:p>
    <w:p w:rsidR="00017850" w:rsidRPr="00E970BD" w:rsidRDefault="00017850" w:rsidP="00017850">
      <w:pPr>
        <w:shd w:val="clear" w:color="auto" w:fill="DEEAF6" w:themeFill="accent5" w:themeFillTint="33"/>
        <w:spacing w:after="200" w:line="276" w:lineRule="auto"/>
        <w:rPr>
          <w:rFonts w:ascii="Arial" w:eastAsia="Calibri" w:hAnsi="Arial" w:cs="Arial"/>
        </w:rPr>
      </w:pPr>
      <w:r w:rsidRPr="00E970BD">
        <w:rPr>
          <w:rFonts w:ascii="Arial" w:eastAsia="Calibri" w:hAnsi="Arial" w:cs="Arial"/>
        </w:rPr>
        <w:t xml:space="preserve">DOCUMENT : </w:t>
      </w:r>
      <w:r>
        <w:rPr>
          <w:rFonts w:ascii="Arial" w:eastAsia="Calibri" w:hAnsi="Arial" w:cs="Arial"/>
        </w:rPr>
        <w:t>Extrait de l’ouvrage « Communication, crise et RSE »</w:t>
      </w:r>
    </w:p>
    <w:p w:rsidR="00017850" w:rsidRDefault="00017850" w:rsidP="00017850">
      <w:pPr>
        <w:pStyle w:val="NormalWeb"/>
        <w:jc w:val="both"/>
      </w:pPr>
      <w:r>
        <w:t xml:space="preserve">RSE, culture d’entreprise et communication interne de crise, un bon mélange ? </w:t>
      </w:r>
    </w:p>
    <w:p w:rsidR="00017850" w:rsidRDefault="00017850" w:rsidP="00017850">
      <w:pPr>
        <w:pStyle w:val="NormalWeb"/>
        <w:jc w:val="both"/>
      </w:pPr>
      <w:r>
        <w:t xml:space="preserve">À l’arrivée du concept </w:t>
      </w:r>
      <w:r>
        <w:t xml:space="preserve">[de RSE] </w:t>
      </w:r>
      <w:r>
        <w:t xml:space="preserve">dans leur entreprise, les salariés étaient plus que sceptiques. Cette réticence peut s’expliquer par la méfiance élevée des employés à l’égard de leur entreprise. C’est ce que montrent les résultats assez décourageants de l’institut de sondage français IPSOS qui a réalisé une étude sur la confiance des salariés envers leur entreprise. Mais les positions évoluent, et aujourd’hui la RSE peut s’avérer être une solution adéquate face à cette perte de crédibilité. Elle s’avère être une valeur qui permet de toucher l’ensemble des publics de l’entreprise et de réunir les employés autour d’un projet social commun. En effet, elle demande l’implication et la collaboration de tous types d’acteurs dans une perspective d’amélioration permanente. C’est en communiquant d’abord en interne et en montrant l’intérêt de chacun de s’engager dans ce processus sur le long terme que l’entreprise arrivera à fédérer les salariés autour de ce projet citoyen et l’entreprise au sens large. La communication interne joue un rôle capital dans la réussite de l’assimilation et de la compréhension des actions RSE. Maignan et </w:t>
      </w:r>
      <w:proofErr w:type="spellStart"/>
      <w:r>
        <w:t>Ferrel</w:t>
      </w:r>
      <w:proofErr w:type="spellEnd"/>
      <w:r>
        <w:t xml:space="preserve"> (2001) montrent que plus les entreprises seront pro actives dans leurs arguments citoyen, plus les employés seront engagés dans leur travail et leur entreprise. N’oublions pas que les actions menées par l’entreprise servent aussi à créer un sentiment de fierté chez les gens qui y travaillent et peuvent attirer de nouveaux talents. Nous pensons que les employés sont un facteur déterminant en situation de crise. Il est donc important que l’entreprise crée une cohésion interne et un sentiment d’appartenance fort. Elle peut utiliser l’argument citoyen pour l’aider à fédérer ses membres.</w:t>
      </w:r>
    </w:p>
    <w:p w:rsidR="00017850" w:rsidRDefault="00017850" w:rsidP="00017850">
      <w:pPr>
        <w:spacing w:after="200" w:line="276" w:lineRule="auto"/>
        <w:jc w:val="right"/>
        <w:rPr>
          <w:rFonts w:ascii="Calibri" w:eastAsia="Calibri" w:hAnsi="Calibri" w:cs="Times New Roman"/>
          <w:sz w:val="18"/>
          <w:szCs w:val="18"/>
        </w:rPr>
      </w:pPr>
      <w:r>
        <w:rPr>
          <w:i/>
          <w:iCs/>
        </w:rPr>
        <w:t xml:space="preserve">Christine </w:t>
      </w:r>
      <w:proofErr w:type="spellStart"/>
      <w:r>
        <w:rPr>
          <w:i/>
          <w:iCs/>
        </w:rPr>
        <w:t>Hambursin</w:t>
      </w:r>
      <w:proofErr w:type="spellEnd"/>
    </w:p>
    <w:p w:rsidR="00017850" w:rsidRDefault="00017850" w:rsidP="006216C0">
      <w:pPr>
        <w:spacing w:after="200" w:line="276" w:lineRule="auto"/>
      </w:pPr>
    </w:p>
    <w:sectPr w:rsidR="00017850">
      <w:headerReference w:type="default"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BCE" w:rsidRDefault="00C52BCE" w:rsidP="00E970BD">
      <w:pPr>
        <w:spacing w:after="0" w:line="240" w:lineRule="auto"/>
      </w:pPr>
      <w:r>
        <w:separator/>
      </w:r>
    </w:p>
  </w:endnote>
  <w:endnote w:type="continuationSeparator" w:id="0">
    <w:p w:rsidR="00C52BCE" w:rsidRDefault="00C52BCE" w:rsidP="00E9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6C0" w:rsidRPr="006216C0" w:rsidRDefault="006216C0" w:rsidP="006216C0">
    <w:pPr>
      <w:tabs>
        <w:tab w:val="center" w:pos="4536"/>
        <w:tab w:val="right" w:pos="9072"/>
      </w:tabs>
      <w:spacing w:after="0" w:line="240" w:lineRule="auto"/>
      <w:jc w:val="center"/>
      <w:rPr>
        <w:rFonts w:ascii="Tahoma" w:hAnsi="Tahoma" w:cs="Tahoma"/>
        <w:color w:val="BFBFBF" w:themeColor="background1" w:themeShade="BF"/>
        <w:sz w:val="18"/>
        <w:szCs w:val="18"/>
      </w:rPr>
    </w:pPr>
    <w:r w:rsidRPr="006216C0">
      <w:rPr>
        <w:rFonts w:ascii="Tahoma" w:hAnsi="Tahoma" w:cs="Tahoma"/>
        <w:color w:val="BFBFBF" w:themeColor="background1" w:themeShade="BF"/>
        <w:sz w:val="18"/>
        <w:szCs w:val="18"/>
      </w:rPr>
      <w:t xml:space="preserve">Page </w:t>
    </w:r>
    <w:r w:rsidRPr="006216C0">
      <w:rPr>
        <w:rFonts w:ascii="Tahoma" w:hAnsi="Tahoma" w:cs="Tahoma"/>
        <w:b/>
        <w:bCs/>
        <w:color w:val="BFBFBF" w:themeColor="background1" w:themeShade="BF"/>
        <w:sz w:val="18"/>
        <w:szCs w:val="18"/>
      </w:rPr>
      <w:fldChar w:fldCharType="begin"/>
    </w:r>
    <w:r w:rsidRPr="006216C0">
      <w:rPr>
        <w:rFonts w:ascii="Tahoma" w:hAnsi="Tahoma" w:cs="Tahoma"/>
        <w:b/>
        <w:bCs/>
        <w:color w:val="BFBFBF" w:themeColor="background1" w:themeShade="BF"/>
        <w:sz w:val="18"/>
        <w:szCs w:val="18"/>
      </w:rPr>
      <w:instrText>PAGE</w:instrText>
    </w:r>
    <w:r w:rsidRPr="006216C0">
      <w:rPr>
        <w:rFonts w:ascii="Tahoma" w:hAnsi="Tahoma" w:cs="Tahoma"/>
        <w:b/>
        <w:bCs/>
        <w:color w:val="BFBFBF" w:themeColor="background1" w:themeShade="BF"/>
        <w:sz w:val="18"/>
        <w:szCs w:val="18"/>
      </w:rPr>
      <w:fldChar w:fldCharType="separate"/>
    </w:r>
    <w:r w:rsidR="004900FD">
      <w:rPr>
        <w:rFonts w:ascii="Tahoma" w:hAnsi="Tahoma" w:cs="Tahoma"/>
        <w:b/>
        <w:bCs/>
        <w:noProof/>
        <w:color w:val="BFBFBF" w:themeColor="background1" w:themeShade="BF"/>
        <w:sz w:val="18"/>
        <w:szCs w:val="18"/>
      </w:rPr>
      <w:t>1</w:t>
    </w:r>
    <w:r w:rsidRPr="006216C0">
      <w:rPr>
        <w:rFonts w:ascii="Tahoma" w:hAnsi="Tahoma" w:cs="Tahoma"/>
        <w:b/>
        <w:bCs/>
        <w:color w:val="BFBFBF" w:themeColor="background1" w:themeShade="BF"/>
        <w:sz w:val="18"/>
        <w:szCs w:val="18"/>
      </w:rPr>
      <w:fldChar w:fldCharType="end"/>
    </w:r>
    <w:r w:rsidRPr="006216C0">
      <w:rPr>
        <w:rFonts w:ascii="Tahoma" w:hAnsi="Tahoma" w:cs="Tahoma"/>
        <w:color w:val="BFBFBF" w:themeColor="background1" w:themeShade="BF"/>
        <w:sz w:val="18"/>
        <w:szCs w:val="18"/>
      </w:rPr>
      <w:t xml:space="preserve"> sur </w:t>
    </w:r>
    <w:r w:rsidRPr="006216C0">
      <w:rPr>
        <w:rFonts w:ascii="Tahoma" w:hAnsi="Tahoma" w:cs="Tahoma"/>
        <w:b/>
        <w:bCs/>
        <w:color w:val="BFBFBF" w:themeColor="background1" w:themeShade="BF"/>
        <w:sz w:val="18"/>
        <w:szCs w:val="18"/>
      </w:rPr>
      <w:fldChar w:fldCharType="begin"/>
    </w:r>
    <w:r w:rsidRPr="006216C0">
      <w:rPr>
        <w:rFonts w:ascii="Tahoma" w:hAnsi="Tahoma" w:cs="Tahoma"/>
        <w:b/>
        <w:bCs/>
        <w:color w:val="BFBFBF" w:themeColor="background1" w:themeShade="BF"/>
        <w:sz w:val="18"/>
        <w:szCs w:val="18"/>
      </w:rPr>
      <w:instrText>NUMPAGES</w:instrText>
    </w:r>
    <w:r w:rsidRPr="006216C0">
      <w:rPr>
        <w:rFonts w:ascii="Tahoma" w:hAnsi="Tahoma" w:cs="Tahoma"/>
        <w:b/>
        <w:bCs/>
        <w:color w:val="BFBFBF" w:themeColor="background1" w:themeShade="BF"/>
        <w:sz w:val="18"/>
        <w:szCs w:val="18"/>
      </w:rPr>
      <w:fldChar w:fldCharType="separate"/>
    </w:r>
    <w:r w:rsidR="004900FD">
      <w:rPr>
        <w:rFonts w:ascii="Tahoma" w:hAnsi="Tahoma" w:cs="Tahoma"/>
        <w:b/>
        <w:bCs/>
        <w:noProof/>
        <w:color w:val="BFBFBF" w:themeColor="background1" w:themeShade="BF"/>
        <w:sz w:val="18"/>
        <w:szCs w:val="18"/>
      </w:rPr>
      <w:t>3</w:t>
    </w:r>
    <w:r w:rsidRPr="006216C0">
      <w:rPr>
        <w:rFonts w:ascii="Tahoma" w:hAnsi="Tahoma" w:cs="Tahoma"/>
        <w:b/>
        <w:bCs/>
        <w:color w:val="BFBFBF" w:themeColor="background1" w:themeShade="BF"/>
        <w:sz w:val="18"/>
        <w:szCs w:val="18"/>
      </w:rPr>
      <w:fldChar w:fldCharType="end"/>
    </w:r>
  </w:p>
  <w:p w:rsidR="006216C0" w:rsidRPr="006216C0" w:rsidRDefault="006216C0" w:rsidP="006216C0">
    <w:pPr>
      <w:tabs>
        <w:tab w:val="center" w:pos="4536"/>
        <w:tab w:val="right" w:pos="9072"/>
      </w:tabs>
      <w:spacing w:after="0" w:line="240" w:lineRule="auto"/>
      <w:rPr>
        <w:color w:val="BFBFBF" w:themeColor="background1" w:themeShade="BF"/>
      </w:rPr>
    </w:pPr>
    <w:r w:rsidRPr="006216C0">
      <w:rPr>
        <w:rFonts w:ascii="Tahoma" w:hAnsi="Tahoma" w:cs="Tahoma"/>
        <w:color w:val="BFBFBF" w:themeColor="background1" w:themeShade="BF"/>
        <w:sz w:val="18"/>
        <w:szCs w:val="18"/>
      </w:rPr>
      <w:t>Terminale STMG spécialité RHC, Mme Police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BCE" w:rsidRDefault="00C52BCE" w:rsidP="00E970BD">
      <w:pPr>
        <w:spacing w:after="0" w:line="240" w:lineRule="auto"/>
      </w:pPr>
      <w:r>
        <w:separator/>
      </w:r>
    </w:p>
  </w:footnote>
  <w:footnote w:type="continuationSeparator" w:id="0">
    <w:p w:rsidR="00C52BCE" w:rsidRDefault="00C52BCE" w:rsidP="00E970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0BD" w:rsidRDefault="00E970BD">
    <w:pPr>
      <w:pStyle w:val="En-tte"/>
    </w:pPr>
    <w:r>
      <w:rPr>
        <w:noProof/>
        <w:lang w:eastAsia="fr-FR"/>
      </w:rPr>
      <mc:AlternateContent>
        <mc:Choice Requires="wpg">
          <w:drawing>
            <wp:anchor distT="0" distB="0" distL="114300" distR="114300" simplePos="0" relativeHeight="251658240" behindDoc="0" locked="0" layoutInCell="0" allowOverlap="1">
              <wp:simplePos x="0" y="0"/>
              <wp:positionH relativeFrom="page">
                <wp:align>center</wp:align>
              </wp:positionH>
              <wp:positionV relativeFrom="page">
                <wp:posOffset>160020</wp:posOffset>
              </wp:positionV>
              <wp:extent cx="7160260" cy="625475"/>
              <wp:effectExtent l="0" t="0" r="21590" b="22225"/>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0260" cy="625475"/>
                        <a:chOff x="330" y="308"/>
                        <a:chExt cx="11586" cy="835"/>
                      </a:xfrm>
                    </wpg:grpSpPr>
                    <wps:wsp>
                      <wps:cNvPr id="6" name="Rectangle 2"/>
                      <wps:cNvSpPr>
                        <a:spLocks noChangeArrowheads="1"/>
                      </wps:cNvSpPr>
                      <wps:spPr bwMode="auto">
                        <a:xfrm>
                          <a:off x="377" y="360"/>
                          <a:ext cx="9346" cy="720"/>
                        </a:xfrm>
                        <a:prstGeom prst="rect">
                          <a:avLst/>
                        </a:prstGeom>
                        <a:solidFill>
                          <a:srgbClr val="FFCC66"/>
                        </a:solidFill>
                        <a:ln w="38100">
                          <a:solidFill>
                            <a:srgbClr val="F2F2F2"/>
                          </a:solidFill>
                          <a:miter lim="800000"/>
                          <a:headEnd/>
                          <a:tailEnd/>
                        </a:ln>
                        <a:effectLst>
                          <a:outerShdw dist="28398" dir="3806097" algn="ctr" rotWithShape="0">
                            <a:srgbClr val="243F60">
                              <a:alpha val="50000"/>
                            </a:srgbClr>
                          </a:outerShdw>
                        </a:effectLst>
                      </wps:spPr>
                      <wps:txbx>
                        <w:txbxContent>
                          <w:p w:rsidR="00E970BD" w:rsidRPr="002578F4" w:rsidRDefault="00E970BD" w:rsidP="00E970BD">
                            <w:pPr>
                              <w:pStyle w:val="En-tte"/>
                              <w:rPr>
                                <w:rFonts w:ascii="Tahoma" w:hAnsi="Tahoma" w:cs="Tahoma"/>
                                <w:sz w:val="28"/>
                                <w:szCs w:val="28"/>
                              </w:rPr>
                            </w:pPr>
                            <w:r w:rsidRPr="002578F4">
                              <w:rPr>
                                <w:rFonts w:ascii="Tahoma" w:hAnsi="Tahoma" w:cs="Tahoma"/>
                                <w:sz w:val="28"/>
                                <w:szCs w:val="28"/>
                              </w:rPr>
                              <w:t>RESSOURCES HUMAINES &amp; COMMUNICATION</w:t>
                            </w:r>
                          </w:p>
                          <w:p w:rsidR="00E970BD" w:rsidRPr="002578F4" w:rsidRDefault="00E970BD" w:rsidP="00E970BD">
                            <w:pPr>
                              <w:pStyle w:val="En-tte"/>
                              <w:rPr>
                                <w:rFonts w:ascii="Tahoma" w:hAnsi="Tahoma" w:cs="Tahoma"/>
                                <w:sz w:val="28"/>
                                <w:szCs w:val="28"/>
                              </w:rPr>
                            </w:pPr>
                            <w:r w:rsidRPr="002578F4">
                              <w:rPr>
                                <w:rFonts w:ascii="Tahoma" w:hAnsi="Tahoma" w:cs="Tahoma"/>
                                <w:sz w:val="28"/>
                                <w:szCs w:val="28"/>
                              </w:rPr>
                              <w:t>THEME : MOBILISATION ET MOTIVATION</w:t>
                            </w:r>
                          </w:p>
                        </w:txbxContent>
                      </wps:txbx>
                      <wps:bodyPr rot="0" vert="horz" wrap="square" lIns="91440" tIns="45720" rIns="91440" bIns="45720" anchor="ctr" anchorCtr="0" upright="1">
                        <a:noAutofit/>
                      </wps:bodyPr>
                    </wps:wsp>
                    <wps:wsp>
                      <wps:cNvPr id="1" name="Rectangle 3"/>
                      <wps:cNvSpPr>
                        <a:spLocks noChangeArrowheads="1"/>
                      </wps:cNvSpPr>
                      <wps:spPr bwMode="auto">
                        <a:xfrm>
                          <a:off x="9763" y="360"/>
                          <a:ext cx="2102" cy="720"/>
                        </a:xfrm>
                        <a:prstGeom prst="rect">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txbx>
                        <w:txbxContent>
                          <w:p w:rsidR="00E970BD" w:rsidRPr="002578F4" w:rsidRDefault="00E970BD" w:rsidP="00E970BD">
                            <w:pPr>
                              <w:pStyle w:val="En-tte"/>
                              <w:rPr>
                                <w:rFonts w:ascii="Tahoma" w:hAnsi="Tahoma" w:cs="Tahoma"/>
                                <w:b/>
                                <w:sz w:val="36"/>
                                <w:szCs w:val="36"/>
                              </w:rPr>
                            </w:pPr>
                            <w:r w:rsidRPr="002578F4">
                              <w:rPr>
                                <w:rFonts w:ascii="Tahoma" w:hAnsi="Tahoma" w:cs="Tahoma"/>
                                <w:b/>
                                <w:sz w:val="24"/>
                                <w:szCs w:val="24"/>
                              </w:rPr>
                              <w:t xml:space="preserve">Question de gestion  </w:t>
                            </w:r>
                          </w:p>
                        </w:txbxContent>
                      </wps:txbx>
                      <wps:bodyPr rot="0" vert="horz" wrap="square" lIns="91440" tIns="45720" rIns="91440" bIns="45720" anchor="ctr" anchorCtr="0" upright="1">
                        <a:noAutofit/>
                      </wps:bodyPr>
                    </wps:wsp>
                    <wps:wsp>
                      <wps:cNvPr id="2" name="Rectangle 4"/>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5" o:spid="_x0000_s1026" style="position:absolute;margin-left:0;margin-top:12.6pt;width:563.8pt;height:49.25pt;z-index:251658240;mso-position-horizontal:center;mso-position-horizontal-relative:page;mso-position-vertical-relative:pag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" o:allowincell="f">
              <v:rect id="Rectangle 2"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7uvMIA&#10;AADaAAAADwAAAGRycy9kb3ducmV2LnhtbESPzWrDMBCE74W+g9hCLqWWk4MpjuUQCoYc8+Meclus&#10;rW1srYylxurbV4FAjsPMfMMUu2BGcaPZ9ZYVrJMUBHFjdc+tgvpSfXyCcB5Z42iZFPyRg135+lJg&#10;ru3CJ7qdfSsihF2OCjrvp1xK13Rk0CV2Io7ej50N+ijnVuoZlwg3o9ykaSYN9hwXOpzoq6NmOP8a&#10;BcOw6Q+1PrLch/dlkmG8VtW3Uqu3sN+C8BT8M/xoH7SCDO5X4g2Q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u68wgAAANoAAAAPAAAAAAAAAAAAAAAAAJgCAABkcnMvZG93&#10;bnJldi54bWxQSwUGAAAAAAQABAD1AAAAhwMAAAAA&#10;" fillcolor="#fc6" strokecolor="#f2f2f2" strokeweight="3pt">
                <v:shadow on="t" color="#243f60" opacity=".5" offset="1pt"/>
                <v:textbox>
                  <w:txbxContent>
                    <w:p w:rsidR="00E970BD" w:rsidRPr="002578F4" w:rsidRDefault="00E970BD" w:rsidP="00E970BD">
                      <w:pPr>
                        <w:pStyle w:val="En-tte"/>
                        <w:rPr>
                          <w:rFonts w:ascii="Tahoma" w:hAnsi="Tahoma" w:cs="Tahoma"/>
                          <w:sz w:val="28"/>
                          <w:szCs w:val="28"/>
                        </w:rPr>
                      </w:pPr>
                      <w:r w:rsidRPr="002578F4">
                        <w:rPr>
                          <w:rFonts w:ascii="Tahoma" w:hAnsi="Tahoma" w:cs="Tahoma"/>
                          <w:sz w:val="28"/>
                          <w:szCs w:val="28"/>
                        </w:rPr>
                        <w:t>RESSOURCES HUMAINES &amp; COMMUNICATION</w:t>
                      </w:r>
                    </w:p>
                    <w:p w:rsidR="00E970BD" w:rsidRPr="002578F4" w:rsidRDefault="00E970BD" w:rsidP="00E970BD">
                      <w:pPr>
                        <w:pStyle w:val="En-tte"/>
                        <w:rPr>
                          <w:rFonts w:ascii="Tahoma" w:hAnsi="Tahoma" w:cs="Tahoma"/>
                          <w:sz w:val="28"/>
                          <w:szCs w:val="28"/>
                        </w:rPr>
                      </w:pPr>
                      <w:r w:rsidRPr="002578F4">
                        <w:rPr>
                          <w:rFonts w:ascii="Tahoma" w:hAnsi="Tahoma" w:cs="Tahoma"/>
                          <w:sz w:val="28"/>
                          <w:szCs w:val="28"/>
                        </w:rPr>
                        <w:t>THEME : MOBILISATION ET MOTIVATION</w:t>
                      </w:r>
                    </w:p>
                  </w:txbxContent>
                </v:textbox>
              </v:rect>
              <v:rect id="Rectangle 3"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IlsEA&#10;AADaAAAADwAAAGRycy9kb3ducmV2LnhtbERPTWvCQBC9F/wPywi9FN3Yg0jqKlpokd6MIvY2ZMds&#10;SHY27K5J+u+7QqGn4fE+Z70dbSt68qF2rGAxz0AQl07XXCk4nz5mKxAhImtsHZOCHwqw3Uye1phr&#10;N/CR+iJWIoVwyFGBibHLpQylIYth7jrixN2ctxgT9JXUHocUblv5mmVLabHm1GCwo3dDZVPcrYJr&#10;2TeFuX/vvy6Ll274PAxN4Sulnqfj7g1EpDH+i//cB53mw+OVx5W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kSJbBAAAA2gAAAA8AAAAAAAAAAAAAAAAAmAIAAGRycy9kb3du&#10;cmV2LnhtbFBLBQYAAAAABAAEAPUAAACGAwAAAAA=&#10;" fillcolor="#4bacc6" strokecolor="#f2f2f2" strokeweight="3pt">
                <v:shadow on="t" color="#205867" opacity=".5" offset="1pt"/>
                <v:textbox>
                  <w:txbxContent>
                    <w:p w:rsidR="00E970BD" w:rsidRPr="002578F4" w:rsidRDefault="00E970BD" w:rsidP="00E970BD">
                      <w:pPr>
                        <w:pStyle w:val="En-tte"/>
                        <w:rPr>
                          <w:rFonts w:ascii="Tahoma" w:hAnsi="Tahoma" w:cs="Tahoma"/>
                          <w:b/>
                          <w:sz w:val="36"/>
                          <w:szCs w:val="36"/>
                        </w:rPr>
                      </w:pPr>
                      <w:r w:rsidRPr="002578F4">
                        <w:rPr>
                          <w:rFonts w:ascii="Tahoma" w:hAnsi="Tahoma" w:cs="Tahoma"/>
                          <w:b/>
                          <w:sz w:val="24"/>
                          <w:szCs w:val="24"/>
                        </w:rPr>
                        <w:t xml:space="preserve">Question de gestion  </w:t>
                      </w:r>
                    </w:p>
                  </w:txbxContent>
                </v:textbox>
              </v:rect>
              <v:rect id="Rectangle 4"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Lc7sUA&#10;AADaAAAADwAAAGRycy9kb3ducmV2LnhtbESPT2vCQBTE74V+h+UJvRTdaKtodCOlIBQPBf8gHh/Z&#10;ZxKSfRt21yR++26h0OMwM79hNtvBNKIj5yvLCqaTBARxbnXFhYLzaTdegvABWWNjmRQ8yMM2e37a&#10;YKptzwfqjqEQEcI+RQVlCG0qpc9LMugntiWO3s06gyFKV0jtsI9w08hZkiykwYrjQoktfZaU18e7&#10;UbB/nyfXcJna07J+W3275vWy2N+VehkNH2sQgYbwH/5rf2kFM/i9Em+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ktzuxQAAANoAAAAPAAAAAAAAAAAAAAAAAJgCAABkcnMv&#10;ZG93bnJldi54bWxQSwUGAAAAAAQABAD1AAAAigMAAAAA&#10;" filled="f" strokeweight="1p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978BF"/>
    <w:multiLevelType w:val="hybridMultilevel"/>
    <w:tmpl w:val="68DC50BE"/>
    <w:lvl w:ilvl="0" w:tplc="040C0001">
      <w:start w:val="1"/>
      <w:numFmt w:val="bullet"/>
      <w:lvlText w:val=""/>
      <w:lvlJc w:val="left"/>
      <w:pPr>
        <w:tabs>
          <w:tab w:val="num" w:pos="3555"/>
        </w:tabs>
        <w:ind w:left="3555"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9444C0"/>
    <w:multiLevelType w:val="hybridMultilevel"/>
    <w:tmpl w:val="5F5019F2"/>
    <w:lvl w:ilvl="0" w:tplc="040C000F">
      <w:start w:val="1"/>
      <w:numFmt w:val="decimal"/>
      <w:lvlText w:val="%1."/>
      <w:lvlJc w:val="left"/>
      <w:pPr>
        <w:tabs>
          <w:tab w:val="num" w:pos="720"/>
        </w:tabs>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803798F"/>
    <w:multiLevelType w:val="hybridMultilevel"/>
    <w:tmpl w:val="76DC6FD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2E4C06"/>
    <w:multiLevelType w:val="hybridMultilevel"/>
    <w:tmpl w:val="A46C2E3E"/>
    <w:lvl w:ilvl="0" w:tplc="040C000B">
      <w:start w:val="1"/>
      <w:numFmt w:val="bullet"/>
      <w:lvlText w:val=""/>
      <w:lvlJc w:val="left"/>
      <w:pPr>
        <w:tabs>
          <w:tab w:val="num" w:pos="3555"/>
        </w:tabs>
        <w:ind w:left="3555"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8429E6"/>
    <w:multiLevelType w:val="hybridMultilevel"/>
    <w:tmpl w:val="205A94C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BD"/>
    <w:rsid w:val="00017850"/>
    <w:rsid w:val="00202F95"/>
    <w:rsid w:val="00301032"/>
    <w:rsid w:val="004900FD"/>
    <w:rsid w:val="006216C0"/>
    <w:rsid w:val="00913E8F"/>
    <w:rsid w:val="00B21C2C"/>
    <w:rsid w:val="00C52BCE"/>
    <w:rsid w:val="00CC732D"/>
    <w:rsid w:val="00D51458"/>
    <w:rsid w:val="00E970BD"/>
    <w:rsid w:val="00EC6E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BB00B1-CEF2-4461-BA10-C32C8F4E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970BD"/>
    <w:pPr>
      <w:tabs>
        <w:tab w:val="center" w:pos="4536"/>
        <w:tab w:val="right" w:pos="9072"/>
      </w:tabs>
      <w:spacing w:after="0" w:line="240" w:lineRule="auto"/>
    </w:pPr>
  </w:style>
  <w:style w:type="character" w:customStyle="1" w:styleId="En-tteCar">
    <w:name w:val="En-tête Car"/>
    <w:basedOn w:val="Policepardfaut"/>
    <w:link w:val="En-tte"/>
    <w:uiPriority w:val="99"/>
    <w:rsid w:val="00E970BD"/>
  </w:style>
  <w:style w:type="paragraph" w:styleId="Pieddepage">
    <w:name w:val="footer"/>
    <w:basedOn w:val="Normal"/>
    <w:link w:val="PieddepageCar"/>
    <w:uiPriority w:val="99"/>
    <w:unhideWhenUsed/>
    <w:rsid w:val="00E970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70BD"/>
  </w:style>
  <w:style w:type="paragraph" w:styleId="NormalWeb">
    <w:name w:val="Normal (Web)"/>
    <w:basedOn w:val="Normal"/>
    <w:uiPriority w:val="99"/>
    <w:semiHidden/>
    <w:unhideWhenUsed/>
    <w:rsid w:val="000178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900FD"/>
    <w:rPr>
      <w:color w:val="0563C1" w:themeColor="hyperlink"/>
      <w:u w:val="single"/>
    </w:rPr>
  </w:style>
  <w:style w:type="character" w:styleId="Lienhypertextesuivivisit">
    <w:name w:val="FollowedHyperlink"/>
    <w:basedOn w:val="Policepardfaut"/>
    <w:uiPriority w:val="99"/>
    <w:semiHidden/>
    <w:unhideWhenUsed/>
    <w:rsid w:val="004900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40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233;veloppement-durable.gouv.fr" TargetMode="External"/><Relationship Id="rId13" Type="http://schemas.openxmlformats.org/officeDocument/2006/relationships/hyperlink" Target="http://www.td.com/francais/responsabilites-de-lentreprise/crr-2010/environnement/empreinte-environnementale/emissions-de-gaz-a-effet-de-serre-index.jsp" TargetMode="External"/><Relationship Id="rId18" Type="http://schemas.openxmlformats.org/officeDocument/2006/relationships/hyperlink" Target="http://www.td.com/francais/responsabilites-de-lentreprise/crr-2010/environnement/empreinte-environnementale/gestion-des-dechets-index.jsp" TargetMode="External"/><Relationship Id="rId26" Type="http://schemas.openxmlformats.org/officeDocument/2006/relationships/hyperlink" Target="http://www.td.com/francais/responsabilites-de-lentreprise/crr-2010/environnement/empreinte-environnementale/gestion-des-dechets-index.jsp" TargetMode="External"/><Relationship Id="rId3" Type="http://schemas.openxmlformats.org/officeDocument/2006/relationships/settings" Target="settings.xml"/><Relationship Id="rId21" Type="http://schemas.openxmlformats.org/officeDocument/2006/relationships/hyperlink" Target="http://www.td.com/francais/responsabilites-de-lentreprise/crr-2010/environnement/financement-responsible/index.jsp" TargetMode="External"/><Relationship Id="rId34" Type="http://schemas.openxmlformats.org/officeDocument/2006/relationships/fontTable" Target="fontTable.xml"/><Relationship Id="rId7" Type="http://schemas.openxmlformats.org/officeDocument/2006/relationships/hyperlink" Target="https://www.youtube.com/watch?v=TElUVVq9_lI" TargetMode="External"/><Relationship Id="rId12" Type="http://schemas.openxmlformats.org/officeDocument/2006/relationships/hyperlink" Target="http://www.td.com/francais/responsabilites-de-lentreprise/crr-2010/environnement/empreinte-environnementale/efficacite-energetique-index.jsp" TargetMode="External"/><Relationship Id="rId17" Type="http://schemas.openxmlformats.org/officeDocument/2006/relationships/hyperlink" Target="http://www.td.com/francais/responsabilites-de-lentreprise/crr-2010/environnement/produits-verts/index.jsp" TargetMode="External"/><Relationship Id="rId25" Type="http://schemas.openxmlformats.org/officeDocument/2006/relationships/hyperlink" Target="http://www.td.com/francais/responsabilites-de-lentreprise/crr-2010/environnement/empreinte-environnementale/emissions-de-gaz-a-effet-de-serre-index.jsp"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td.com/francais/responsabilites-de-lentreprise/crr-2010/environnement/empreinte-environnementale/emissions-de-gaz-a-effet-de-serre-index.jsp" TargetMode="External"/><Relationship Id="rId20" Type="http://schemas.openxmlformats.org/officeDocument/2006/relationships/hyperlink" Target="http://www.td.com/francais/responsabilites-de-lentreprise/crr-2010/environnement/empreinte-environnementale/empreinte-environnementale-index.jsp" TargetMode="External"/><Relationship Id="rId29" Type="http://schemas.openxmlformats.org/officeDocument/2006/relationships/hyperlink" Target="http://www.td.com/francais/responsabilites-de-lentreprise/crr-2010/environnement/produits-verts/index.j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d.com/francais/responsabilites-de-lentreprise/crr-2010/environnement/empreinte-environnementale/index.jsp" TargetMode="External"/><Relationship Id="rId24" Type="http://schemas.openxmlformats.org/officeDocument/2006/relationships/hyperlink" Target="http://www.td.com/francais/responsabilites-de-lentreprise/crr-2010/environnement/empreinte-environnementale/index.jsp"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td.com/francais/responsabilites-de-lentreprise/crr-2010/environnement/empreinte-environnementale/emissions-de-gaz-a-effet-de-serre-index.jsp" TargetMode="External"/><Relationship Id="rId23" Type="http://schemas.openxmlformats.org/officeDocument/2006/relationships/hyperlink" Target="javascript:openWin('/francais/responsabilite/crr2010/respository/notes/index.jsp');" TargetMode="External"/><Relationship Id="rId28" Type="http://schemas.openxmlformats.org/officeDocument/2006/relationships/hyperlink" Target="http://www.td.com/francais/responsabilites-de-lentreprise/crr-2010/environnement/empreinte-environnementale/gestion-des-dechets-index.jsp" TargetMode="External"/><Relationship Id="rId10" Type="http://schemas.openxmlformats.org/officeDocument/2006/relationships/hyperlink" Target="http://www.td.com/francais/responsabilites-de-lentreprise/crr-2010/environnement/empreinte-environnementale/index.jsp" TargetMode="External"/><Relationship Id="rId19" Type="http://schemas.openxmlformats.org/officeDocument/2006/relationships/hyperlink" Target="http://www.td.com/francais/responsabilites-de-lentreprise/crr-2010/environnement/empreinte-environnementale/empreinte-environnementale-index.jsp" TargetMode="External"/><Relationship Id="rId31" Type="http://schemas.openxmlformats.org/officeDocument/2006/relationships/hyperlink" Target="http://www.td.com/francais/responsabilites-de-lentreprise/crr-2010/environnement/financement-responsible/financement-responsible-index.jsp" TargetMode="External"/><Relationship Id="rId4" Type="http://schemas.openxmlformats.org/officeDocument/2006/relationships/webSettings" Target="webSettings.xml"/><Relationship Id="rId9" Type="http://schemas.openxmlformats.org/officeDocument/2006/relationships/hyperlink" Target="http://www.td.com/francais/responsabilites-de-lentreprise/crr-2010/environnement/index.jsp" TargetMode="External"/><Relationship Id="rId14" Type="http://schemas.openxmlformats.org/officeDocument/2006/relationships/hyperlink" Target="http://www.td.com/francais/responsabilites-de-lentreprise/crr-2010/environnement/empreinte-environnementale/empreinte-environnementale-index.jsp" TargetMode="External"/><Relationship Id="rId22" Type="http://schemas.openxmlformats.org/officeDocument/2006/relationships/hyperlink" Target="http://www.td.com/francais/responsabilites-de-lentreprise/crr-2010/environnement/empreinte-environnementale/index.jsp" TargetMode="External"/><Relationship Id="rId27" Type="http://schemas.openxmlformats.org/officeDocument/2006/relationships/hyperlink" Target="http://www.td.com/francais/responsabilites-de-lentreprise/crr-2010/environnement/empreinte-environnementale/empreinte-environnementale-index.jsp" TargetMode="External"/><Relationship Id="rId30" Type="http://schemas.openxmlformats.org/officeDocument/2006/relationships/hyperlink" Target="http://www.td.com/francais/responsabilites-de-lentreprise/crr-2010/notre-approche/gouvernance/gouvernance-index.jsp"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3D2D0C6E</Template>
  <TotalTime>17</TotalTime>
  <Pages>3</Pages>
  <Words>1873</Words>
  <Characters>10303</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GWENAELLE POLICE</dc:creator>
  <cp:keywords>RSE</cp:keywords>
  <dc:description/>
  <cp:lastModifiedBy>GWENAELLE POLICE</cp:lastModifiedBy>
  <cp:revision>5</cp:revision>
  <cp:lastPrinted>2017-11-22T09:35:00Z</cp:lastPrinted>
  <dcterms:created xsi:type="dcterms:W3CDTF">2018-01-10T13:21:00Z</dcterms:created>
  <dcterms:modified xsi:type="dcterms:W3CDTF">2018-01-10T13:38:00Z</dcterms:modified>
</cp:coreProperties>
</file>